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6220" w:rsidR="006C5B9E" w:rsidP="00E05F30" w:rsidRDefault="00775784">
      <w:pPr>
        <w:jc w:val="center"/>
      </w:pPr>
      <w:bookmarkStart w:name="_GoBack" w:id="0"/>
      <w:bookmarkEnd w:id="0"/>
      <w:r>
        <w:t>G</w:t>
      </w:r>
      <w:r w:rsidRPr="000B6220" w:rsidR="00BB71B1">
        <w:t>RANDE CHAMBRE</w:t>
      </w:r>
    </w:p>
    <w:p w:rsidRPr="000B6220" w:rsidR="006C5B9E" w:rsidP="00E05F30" w:rsidRDefault="006C5B9E">
      <w:pPr>
        <w:tabs>
          <w:tab w:val="left" w:pos="4536"/>
        </w:tabs>
        <w:jc w:val="center"/>
      </w:pPr>
    </w:p>
    <w:p w:rsidRPr="000B6220" w:rsidR="006C5B9E" w:rsidP="00E05F30" w:rsidRDefault="006C5B9E">
      <w:pPr>
        <w:jc w:val="center"/>
      </w:pPr>
    </w:p>
    <w:p w:rsidRPr="000B6220" w:rsidR="006C5B9E" w:rsidP="00E05F30" w:rsidRDefault="006C5B9E">
      <w:pPr>
        <w:jc w:val="center"/>
      </w:pPr>
    </w:p>
    <w:p w:rsidRPr="000B6220" w:rsidR="006C5B9E" w:rsidP="00E05F30" w:rsidRDefault="006C5B9E">
      <w:pPr>
        <w:jc w:val="center"/>
      </w:pPr>
    </w:p>
    <w:p w:rsidRPr="000B6220" w:rsidR="006C5B9E" w:rsidP="00E05F30" w:rsidRDefault="006C5B9E">
      <w:pPr>
        <w:jc w:val="center"/>
      </w:pPr>
    </w:p>
    <w:p w:rsidRPr="000B6220" w:rsidR="006C5B9E" w:rsidP="00E05F30" w:rsidRDefault="006C5B9E">
      <w:pPr>
        <w:jc w:val="center"/>
      </w:pPr>
    </w:p>
    <w:p w:rsidRPr="000B6220" w:rsidR="006C5B9E" w:rsidP="00E05F30" w:rsidRDefault="006C5B9E">
      <w:pPr>
        <w:jc w:val="center"/>
      </w:pPr>
    </w:p>
    <w:p w:rsidRPr="000B6220" w:rsidR="006C5B9E" w:rsidP="00E05F30" w:rsidRDefault="006C5B9E">
      <w:pPr>
        <w:jc w:val="center"/>
      </w:pPr>
    </w:p>
    <w:p w:rsidRPr="000B6220" w:rsidR="006C5B9E" w:rsidP="00E05F30" w:rsidRDefault="006C5B9E">
      <w:pPr>
        <w:jc w:val="center"/>
      </w:pPr>
    </w:p>
    <w:p w:rsidRPr="000B6220" w:rsidR="006C5B9E" w:rsidP="00E05F30" w:rsidRDefault="006C5B9E">
      <w:pPr>
        <w:jc w:val="center"/>
        <w:rPr>
          <w:b/>
        </w:rPr>
      </w:pPr>
      <w:bookmarkStart w:name="To" w:id="1"/>
      <w:bookmarkStart w:name="OLE_LINK1" w:id="2"/>
      <w:r w:rsidRPr="000B6220">
        <w:rPr>
          <w:b/>
        </w:rPr>
        <w:t xml:space="preserve">AFFAIRE </w:t>
      </w:r>
      <w:bookmarkEnd w:id="1"/>
      <w:r w:rsidRPr="000B6220" w:rsidR="00BB71B1">
        <w:rPr>
          <w:b/>
        </w:rPr>
        <w:t>BAYATYAN c. ARMÉNIE</w:t>
      </w:r>
    </w:p>
    <w:bookmarkEnd w:id="2"/>
    <w:p w:rsidRPr="000B6220" w:rsidR="006C5B9E" w:rsidP="00E05F30" w:rsidRDefault="006C5B9E">
      <w:pPr>
        <w:jc w:val="center"/>
      </w:pPr>
    </w:p>
    <w:p w:rsidR="00E40C8E" w:rsidP="00E40C8E" w:rsidRDefault="006C5B9E">
      <w:pPr>
        <w:jc w:val="center"/>
        <w:rPr>
          <w:i/>
        </w:rPr>
      </w:pPr>
      <w:r w:rsidRPr="000B6220">
        <w:rPr>
          <w:i/>
        </w:rPr>
        <w:t>(</w:t>
      </w:r>
      <w:r w:rsidRPr="000B6220" w:rsidR="00BB71B1">
        <w:rPr>
          <w:i/>
        </w:rPr>
        <w:t>Requête n</w:t>
      </w:r>
      <w:r w:rsidRPr="000B6220" w:rsidR="00BB71B1">
        <w:rPr>
          <w:i/>
          <w:vertAlign w:val="superscript"/>
        </w:rPr>
        <w:t>o</w:t>
      </w:r>
      <w:r w:rsidRPr="000B6220" w:rsidR="00BB71B1">
        <w:rPr>
          <w:i/>
        </w:rPr>
        <w:t xml:space="preserve"> 23459/03</w:t>
      </w:r>
      <w:r w:rsidRPr="000B6220">
        <w:rPr>
          <w:i/>
        </w:rPr>
        <w:t>)</w:t>
      </w:r>
    </w:p>
    <w:p w:rsidR="00E40C8E" w:rsidP="007009DC" w:rsidRDefault="00E40C8E">
      <w:pPr>
        <w:jc w:val="center"/>
      </w:pPr>
    </w:p>
    <w:p w:rsidR="00E40C8E" w:rsidP="007009DC" w:rsidRDefault="00E40C8E">
      <w:pPr>
        <w:jc w:val="center"/>
      </w:pPr>
    </w:p>
    <w:p w:rsidR="00E40C8E" w:rsidP="007009DC" w:rsidRDefault="00E40C8E">
      <w:pPr>
        <w:jc w:val="center"/>
      </w:pPr>
    </w:p>
    <w:p w:rsidR="00E40C8E" w:rsidP="007009DC" w:rsidRDefault="00E40C8E">
      <w:pPr>
        <w:jc w:val="center"/>
      </w:pPr>
    </w:p>
    <w:p w:rsidR="00E40C8E" w:rsidP="007009DC" w:rsidRDefault="00E40C8E">
      <w:pPr>
        <w:jc w:val="center"/>
      </w:pPr>
    </w:p>
    <w:p w:rsidR="00E40C8E" w:rsidP="007009DC" w:rsidRDefault="00E40C8E">
      <w:pPr>
        <w:jc w:val="center"/>
      </w:pPr>
    </w:p>
    <w:p w:rsidR="00E40C8E" w:rsidP="007009DC" w:rsidRDefault="00E40C8E">
      <w:pPr>
        <w:jc w:val="center"/>
      </w:pPr>
    </w:p>
    <w:p w:rsidR="00E40C8E" w:rsidP="007009DC" w:rsidRDefault="00E40C8E">
      <w:pPr>
        <w:jc w:val="center"/>
      </w:pPr>
    </w:p>
    <w:p w:rsidR="00E40C8E" w:rsidP="007009DC" w:rsidRDefault="00E40C8E">
      <w:pPr>
        <w:jc w:val="center"/>
      </w:pPr>
    </w:p>
    <w:p w:rsidR="00E40C8E" w:rsidP="007009DC" w:rsidRDefault="00E40C8E">
      <w:pPr>
        <w:jc w:val="center"/>
      </w:pPr>
      <w:r>
        <w:t>ARRÊT</w:t>
      </w:r>
    </w:p>
    <w:p w:rsidR="00E40C8E" w:rsidP="007009DC" w:rsidRDefault="00E40C8E">
      <w:pPr>
        <w:jc w:val="center"/>
      </w:pPr>
    </w:p>
    <w:p w:rsidR="00E40C8E" w:rsidP="007009DC" w:rsidRDefault="00E40C8E">
      <w:pPr>
        <w:jc w:val="center"/>
      </w:pPr>
    </w:p>
    <w:p w:rsidR="00E40C8E" w:rsidP="007009DC" w:rsidRDefault="00E40C8E">
      <w:pPr>
        <w:jc w:val="center"/>
      </w:pPr>
      <w:r>
        <w:t>STRASBOURG</w:t>
      </w:r>
    </w:p>
    <w:p w:rsidR="00E40C8E" w:rsidP="007009DC" w:rsidRDefault="00E40C8E">
      <w:pPr>
        <w:jc w:val="center"/>
      </w:pPr>
    </w:p>
    <w:p w:rsidR="00E40C8E" w:rsidP="007009DC" w:rsidRDefault="00F8494E">
      <w:pPr>
        <w:jc w:val="center"/>
      </w:pPr>
      <w:r>
        <w:t>7 juillet 2011</w:t>
      </w:r>
    </w:p>
    <w:p w:rsidR="00E40C8E" w:rsidP="007009DC" w:rsidRDefault="00E40C8E">
      <w:pPr>
        <w:jc w:val="center"/>
      </w:pPr>
    </w:p>
    <w:p w:rsidR="00E40C8E" w:rsidP="007009DC" w:rsidRDefault="00E40C8E">
      <w:pPr>
        <w:jc w:val="center"/>
      </w:pPr>
    </w:p>
    <w:p w:rsidR="00E40C8E" w:rsidP="00E05F30" w:rsidRDefault="00E40C8E">
      <w:pPr>
        <w:pStyle w:val="JuCase"/>
      </w:pPr>
    </w:p>
    <w:p w:rsidRPr="002257E9" w:rsidR="002257E9" w:rsidP="002257E9" w:rsidRDefault="002257E9">
      <w:pPr>
        <w:pStyle w:val="JuPara"/>
        <w:sectPr w:rsidRPr="002257E9" w:rsidR="002257E9" w:rsidSect="00E40C8E">
          <w:headerReference w:type="default" r:id="rId8"/>
          <w:pgSz w:w="11906" w:h="16838" w:code="9"/>
          <w:pgMar w:top="2274" w:right="2274" w:bottom="2274" w:left="2274" w:header="1701" w:footer="720" w:gutter="0"/>
          <w:pgNumType w:start="1"/>
          <w:cols w:space="720"/>
          <w:noEndnote/>
          <w:docGrid w:linePitch="254"/>
        </w:sectPr>
      </w:pPr>
    </w:p>
    <w:p w:rsidRPr="000B6220" w:rsidR="006C5B9E" w:rsidP="00E05F30" w:rsidRDefault="00E40C8E">
      <w:pPr>
        <w:pStyle w:val="JuCase"/>
      </w:pPr>
      <w:r>
        <w:t xml:space="preserve">En </w:t>
      </w:r>
      <w:r w:rsidRPr="000B6220" w:rsidR="006C5B9E">
        <w:t>l</w:t>
      </w:r>
      <w:r w:rsidR="002257E9">
        <w:t>’</w:t>
      </w:r>
      <w:r w:rsidRPr="000B6220" w:rsidR="006C5B9E">
        <w:t xml:space="preserve">affaire </w:t>
      </w:r>
      <w:r w:rsidRPr="000B6220" w:rsidR="00BB71B1">
        <w:t>Bayatyan c. Arménie</w:t>
      </w:r>
      <w:r w:rsidRPr="000B6220" w:rsidR="006C5B9E">
        <w:t>,</w:t>
      </w:r>
    </w:p>
    <w:p w:rsidRPr="000B6220" w:rsidR="00011AA4" w:rsidP="00E05F30" w:rsidRDefault="006C5B9E">
      <w:pPr>
        <w:pStyle w:val="JuPara"/>
      </w:pPr>
      <w:r w:rsidRPr="000B6220">
        <w:t xml:space="preserve">La Cour européenne des </w:t>
      </w:r>
      <w:r w:rsidRPr="000B6220" w:rsidR="003D71AE">
        <w:t>d</w:t>
      </w:r>
      <w:r w:rsidRPr="000B6220">
        <w:t>roits de l</w:t>
      </w:r>
      <w:r w:rsidR="002257E9">
        <w:t>’</w:t>
      </w:r>
      <w:r w:rsidRPr="000B6220" w:rsidR="003D71AE">
        <w:t>h</w:t>
      </w:r>
      <w:r w:rsidRPr="000B6220">
        <w:t xml:space="preserve">omme, siégeant en </w:t>
      </w:r>
      <w:r w:rsidRPr="000B6220" w:rsidR="00BB71B1">
        <w:t>une Grande Chambre composée</w:t>
      </w:r>
      <w:r w:rsidRPr="000B6220" w:rsidR="007D40F0">
        <w:t xml:space="preserve"> </w:t>
      </w:r>
      <w:r w:rsidRPr="000B6220" w:rsidR="00011AA4">
        <w:t>de :</w:t>
      </w:r>
    </w:p>
    <w:p w:rsidRPr="000424CE" w:rsidR="000424CE" w:rsidP="00E05F30" w:rsidRDefault="0017725F">
      <w:pPr>
        <w:rPr>
          <w:rStyle w:val="JuJudgesChar"/>
        </w:rPr>
      </w:pPr>
      <w:r w:rsidRPr="000B6220">
        <w:rPr>
          <w:rStyle w:val="JuJudgesChar"/>
        </w:rPr>
        <w:tab/>
        <w:t>Jean-Paul Costa,</w:t>
      </w:r>
      <w:r w:rsidRPr="000B6220">
        <w:rPr>
          <w:rStyle w:val="JuJudgesChar"/>
          <w:i/>
        </w:rPr>
        <w:t xml:space="preserve"> président</w:t>
      </w:r>
      <w:r w:rsidRPr="00C01626">
        <w:rPr>
          <w:rStyle w:val="JuJudgesChar"/>
        </w:rPr>
        <w:t>,</w:t>
      </w:r>
      <w:r w:rsidRPr="000B6220">
        <w:rPr>
          <w:rStyle w:val="JuJudgesChar"/>
          <w:i/>
        </w:rPr>
        <w:br/>
      </w:r>
      <w:r w:rsidRPr="000B6220">
        <w:rPr>
          <w:rStyle w:val="JuJudgesChar"/>
        </w:rPr>
        <w:tab/>
        <w:t>Christos Rozakis,</w:t>
      </w:r>
      <w:r w:rsidRPr="000B6220">
        <w:rPr>
          <w:rStyle w:val="JuJudgesChar"/>
          <w:i/>
        </w:rPr>
        <w:br/>
      </w:r>
      <w:r w:rsidRPr="000B6220">
        <w:rPr>
          <w:rStyle w:val="JuJudgesChar"/>
        </w:rPr>
        <w:tab/>
        <w:t>Nicolas Bratza,</w:t>
      </w:r>
      <w:r w:rsidRPr="000B6220">
        <w:rPr>
          <w:rStyle w:val="JuJudgesChar"/>
          <w:i/>
        </w:rPr>
        <w:br/>
      </w:r>
      <w:r w:rsidRPr="000B6220">
        <w:rPr>
          <w:rStyle w:val="JuJudgesChar"/>
        </w:rPr>
        <w:tab/>
        <w:t>Peer Lorenzen,</w:t>
      </w:r>
      <w:r w:rsidRPr="000B6220">
        <w:rPr>
          <w:rStyle w:val="JuJudgesChar"/>
          <w:i/>
        </w:rPr>
        <w:br/>
      </w:r>
      <w:r w:rsidRPr="000B6220">
        <w:rPr>
          <w:rStyle w:val="JuJudgesChar"/>
        </w:rPr>
        <w:tab/>
        <w:t>Françoise Tulkens,</w:t>
      </w:r>
      <w:r w:rsidR="000424CE">
        <w:rPr>
          <w:rStyle w:val="JuJudgesChar"/>
        </w:rPr>
        <w:br/>
      </w:r>
      <w:r w:rsidRPr="000B6220">
        <w:rPr>
          <w:rStyle w:val="JuJudgesChar"/>
        </w:rPr>
        <w:tab/>
        <w:t>Nina Vajić,</w:t>
      </w:r>
      <w:r w:rsidRPr="000B6220">
        <w:rPr>
          <w:rStyle w:val="JuJudgesChar"/>
          <w:i/>
        </w:rPr>
        <w:br/>
      </w:r>
      <w:r w:rsidRPr="000B6220">
        <w:rPr>
          <w:rStyle w:val="JuJudgesChar"/>
        </w:rPr>
        <w:tab/>
        <w:t>Lech Garlicki,</w:t>
      </w:r>
      <w:r w:rsidRPr="000B6220">
        <w:rPr>
          <w:rStyle w:val="JuJudgesChar"/>
          <w:i/>
        </w:rPr>
        <w:br/>
      </w:r>
      <w:r w:rsidRPr="000B6220">
        <w:rPr>
          <w:rStyle w:val="JuJudgesChar"/>
        </w:rPr>
        <w:tab/>
        <w:t>Alvina Gyulumyan,</w:t>
      </w:r>
      <w:r w:rsidRPr="000B6220">
        <w:rPr>
          <w:rStyle w:val="JuJudgesChar"/>
          <w:i/>
        </w:rPr>
        <w:br/>
      </w:r>
      <w:r w:rsidRPr="000B6220">
        <w:rPr>
          <w:rStyle w:val="JuJudgesChar"/>
        </w:rPr>
        <w:tab/>
        <w:t>Dean Spielmann,</w:t>
      </w:r>
      <w:r w:rsidRPr="000B6220">
        <w:rPr>
          <w:rStyle w:val="JuJudgesChar"/>
          <w:i/>
        </w:rPr>
        <w:br/>
      </w:r>
      <w:r w:rsidRPr="000B6220">
        <w:rPr>
          <w:rStyle w:val="JuJudgesChar"/>
        </w:rPr>
        <w:tab/>
        <w:t>Renate Jaeger,</w:t>
      </w:r>
      <w:r w:rsidRPr="000B6220">
        <w:rPr>
          <w:rStyle w:val="JuJudgesChar"/>
          <w:i/>
        </w:rPr>
        <w:br/>
      </w:r>
      <w:r w:rsidRPr="000B6220">
        <w:rPr>
          <w:rStyle w:val="JuJudgesChar"/>
        </w:rPr>
        <w:tab/>
        <w:t>Sverre Erik Jebens,</w:t>
      </w:r>
      <w:r w:rsidRPr="000B6220">
        <w:rPr>
          <w:rStyle w:val="JuJudgesChar"/>
          <w:i/>
        </w:rPr>
        <w:br/>
      </w:r>
      <w:r w:rsidRPr="000B6220">
        <w:rPr>
          <w:rStyle w:val="JuJudgesChar"/>
        </w:rPr>
        <w:tab/>
        <w:t>Päivi Hirvelä,</w:t>
      </w:r>
      <w:r w:rsidRPr="000B6220">
        <w:rPr>
          <w:rStyle w:val="JuJudgesChar"/>
          <w:i/>
        </w:rPr>
        <w:br/>
      </w:r>
      <w:r w:rsidRPr="000B6220">
        <w:rPr>
          <w:rStyle w:val="JuJudgesChar"/>
        </w:rPr>
        <w:tab/>
        <w:t>Mirjana Lazarova Trajkovska,</w:t>
      </w:r>
      <w:r w:rsidRPr="000B6220">
        <w:rPr>
          <w:rStyle w:val="JuJudgesChar"/>
          <w:i/>
        </w:rPr>
        <w:br/>
      </w:r>
      <w:r w:rsidRPr="000B6220">
        <w:rPr>
          <w:rStyle w:val="JuJudgesChar"/>
        </w:rPr>
        <w:tab/>
        <w:t>Ledi Bianku,</w:t>
      </w:r>
      <w:r w:rsidRPr="000B6220">
        <w:rPr>
          <w:rStyle w:val="JuJudgesChar"/>
          <w:i/>
        </w:rPr>
        <w:br/>
      </w:r>
      <w:r w:rsidRPr="000B6220">
        <w:rPr>
          <w:rStyle w:val="JuJudgesChar"/>
        </w:rPr>
        <w:tab/>
        <w:t>Mihai Poalelungi,</w:t>
      </w:r>
      <w:r w:rsidRPr="000B6220">
        <w:rPr>
          <w:rStyle w:val="JuJudgesChar"/>
          <w:i/>
        </w:rPr>
        <w:br/>
      </w:r>
      <w:r w:rsidRPr="000B6220" w:rsidR="000424CE">
        <w:rPr>
          <w:rStyle w:val="JuJudgesChar"/>
        </w:rPr>
        <w:tab/>
        <w:t>Nebojša Vučinić,</w:t>
      </w:r>
      <w:r w:rsidRPr="000B6220" w:rsidR="000424CE">
        <w:rPr>
          <w:rStyle w:val="JuJudgesChar"/>
          <w:i/>
        </w:rPr>
        <w:br/>
      </w:r>
      <w:r w:rsidRPr="000B6220">
        <w:rPr>
          <w:rStyle w:val="JuJudgesChar"/>
        </w:rPr>
        <w:tab/>
        <w:t>Guido Raimondi,</w:t>
      </w:r>
      <w:r w:rsidRPr="000B6220">
        <w:rPr>
          <w:rStyle w:val="JuJudgesChar"/>
          <w:i/>
        </w:rPr>
        <w:t xml:space="preserve"> juges</w:t>
      </w:r>
      <w:r w:rsidRPr="00C01626">
        <w:rPr>
          <w:rStyle w:val="JuJudgesChar"/>
        </w:rPr>
        <w:t>,</w:t>
      </w:r>
    </w:p>
    <w:p w:rsidRPr="000B6220" w:rsidR="00DF3F95" w:rsidP="00E05F30" w:rsidRDefault="00DF3F95">
      <w:pPr>
        <w:rPr>
          <w:rStyle w:val="JuJudgesChar"/>
        </w:rPr>
      </w:pPr>
      <w:r w:rsidRPr="000B6220">
        <w:rPr>
          <w:rStyle w:val="JuJudgesChar"/>
        </w:rPr>
        <w:t>et de</w:t>
      </w:r>
      <w:r w:rsidR="00932044">
        <w:rPr>
          <w:rStyle w:val="JuJudgesChar"/>
        </w:rPr>
        <w:t xml:space="preserve"> Vincent Berger</w:t>
      </w:r>
      <w:r w:rsidRPr="000B6220" w:rsidR="00FA66FA">
        <w:t xml:space="preserve">, </w:t>
      </w:r>
      <w:r w:rsidRPr="00932044" w:rsidR="00932044">
        <w:rPr>
          <w:i/>
        </w:rPr>
        <w:t>jurisconsulte</w:t>
      </w:r>
      <w:r w:rsidRPr="00C01626">
        <w:rPr>
          <w:rStyle w:val="JuJudgesChar"/>
        </w:rPr>
        <w:t>,</w:t>
      </w:r>
    </w:p>
    <w:p w:rsidRPr="000B6220" w:rsidR="006C5B9E" w:rsidP="00E05F30" w:rsidRDefault="006C5B9E">
      <w:pPr>
        <w:pStyle w:val="JuPara"/>
      </w:pPr>
      <w:r w:rsidRPr="000B6220">
        <w:t xml:space="preserve">Après en avoir délibéré en chambre du conseil les </w:t>
      </w:r>
      <w:r w:rsidRPr="000B6220" w:rsidR="00E9566E">
        <w:t>24 novembre 2010</w:t>
      </w:r>
      <w:r w:rsidRPr="000B6220">
        <w:t xml:space="preserve"> et </w:t>
      </w:r>
      <w:r w:rsidR="00067024">
        <w:t>1</w:t>
      </w:r>
      <w:r w:rsidRPr="00067024" w:rsidR="00067024">
        <w:rPr>
          <w:vertAlign w:val="superscript"/>
        </w:rPr>
        <w:t>er</w:t>
      </w:r>
      <w:r w:rsidR="00067024">
        <w:t> juin 2011</w:t>
      </w:r>
      <w:r w:rsidRPr="000B6220">
        <w:t>,</w:t>
      </w:r>
    </w:p>
    <w:p w:rsidRPr="000B6220" w:rsidR="006C5B9E" w:rsidP="00E05F30" w:rsidRDefault="006C5B9E">
      <w:pPr>
        <w:pStyle w:val="JuPara"/>
      </w:pPr>
      <w:r w:rsidRPr="000B6220">
        <w:t>Rend l</w:t>
      </w:r>
      <w:r w:rsidR="002257E9">
        <w:t>’</w:t>
      </w:r>
      <w:r w:rsidRPr="000B6220">
        <w:t>arrêt que voici, adopté à cette dernière date :</w:t>
      </w:r>
    </w:p>
    <w:p w:rsidRPr="000B6220" w:rsidR="006C5B9E" w:rsidP="00E05F30" w:rsidRDefault="006C5B9E">
      <w:pPr>
        <w:pStyle w:val="JuHHead"/>
      </w:pPr>
      <w:r w:rsidRPr="000B6220">
        <w:t>PROCÉDURE</w:t>
      </w:r>
    </w:p>
    <w:p w:rsidRPr="000B6220" w:rsidR="006C5B9E"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1</w:t>
      </w:r>
      <w:r w:rsidRPr="000B6220">
        <w:fldChar w:fldCharType="end"/>
      </w:r>
      <w:r w:rsidRPr="000B6220" w:rsidR="006C5B9E">
        <w:t>.  A l</w:t>
      </w:r>
      <w:r w:rsidR="002257E9">
        <w:t>’</w:t>
      </w:r>
      <w:r w:rsidRPr="000B6220" w:rsidR="006C5B9E">
        <w:t>origine de l</w:t>
      </w:r>
      <w:r w:rsidR="002257E9">
        <w:t>’</w:t>
      </w:r>
      <w:r w:rsidRPr="000B6220" w:rsidR="006C5B9E">
        <w:t xml:space="preserve">affaire </w:t>
      </w:r>
      <w:r w:rsidRPr="000B6220">
        <w:t>se trouve une requête (n</w:t>
      </w:r>
      <w:r w:rsidRPr="000B6220">
        <w:rPr>
          <w:vertAlign w:val="superscript"/>
        </w:rPr>
        <w:t>o</w:t>
      </w:r>
      <w:r w:rsidRPr="000B6220">
        <w:t xml:space="preserve"> 23459/03) dirigée</w:t>
      </w:r>
      <w:r w:rsidRPr="000B6220" w:rsidR="006C5B9E">
        <w:t xml:space="preserve"> contre </w:t>
      </w:r>
      <w:r w:rsidRPr="000B6220">
        <w:t>la République d</w:t>
      </w:r>
      <w:r w:rsidR="002257E9">
        <w:t>’</w:t>
      </w:r>
      <w:r w:rsidRPr="000B6220">
        <w:t>Arménie</w:t>
      </w:r>
      <w:r w:rsidRPr="000B6220" w:rsidR="006C5B9E">
        <w:t xml:space="preserve"> et dont </w:t>
      </w:r>
      <w:r w:rsidRPr="000B6220">
        <w:t>u</w:t>
      </w:r>
      <w:r w:rsidRPr="000B6220" w:rsidR="00E9566E">
        <w:t>n ressortissant de cet Etat, M. </w:t>
      </w:r>
      <w:r w:rsidRPr="000B6220">
        <w:t>Vahan Bayatyan (« le requérant »), a saisi la Cour le 22 juillet 2003</w:t>
      </w:r>
      <w:r w:rsidRPr="000B6220" w:rsidR="006C5B9E">
        <w:t xml:space="preserve"> </w:t>
      </w:r>
      <w:r w:rsidRPr="000B6220" w:rsidR="00400A6E">
        <w:t>en vertu de l</w:t>
      </w:r>
      <w:r w:rsidR="002257E9">
        <w:t>’</w:t>
      </w:r>
      <w:r w:rsidRPr="000B6220" w:rsidR="00400A6E">
        <w:t xml:space="preserve">article </w:t>
      </w:r>
      <w:r w:rsidRPr="000B6220">
        <w:t>34</w:t>
      </w:r>
      <w:r w:rsidRPr="000B6220" w:rsidR="00400A6E">
        <w:t xml:space="preserve"> de la Convention de sauvegarde des droits de l</w:t>
      </w:r>
      <w:r w:rsidR="002257E9">
        <w:t>’</w:t>
      </w:r>
      <w:r w:rsidRPr="000B6220" w:rsidR="00400A6E">
        <w:t>homme et des libertés fondamentales (« la Convention »)</w:t>
      </w:r>
      <w:r w:rsidRPr="000B6220" w:rsidR="00E9566E">
        <w:t>.</w:t>
      </w:r>
    </w:p>
    <w:p w:rsidRPr="000B6220" w:rsidR="00291791"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2</w:t>
      </w:r>
      <w:r w:rsidRPr="000B6220">
        <w:fldChar w:fldCharType="end"/>
      </w:r>
      <w:r w:rsidRPr="000B6220" w:rsidR="006C5B9E">
        <w:t>.  </w:t>
      </w:r>
      <w:r w:rsidRPr="000B6220">
        <w:t xml:space="preserve">Le requérant </w:t>
      </w:r>
      <w:r w:rsidRPr="000B6220" w:rsidR="00487DB2">
        <w:t>a été</w:t>
      </w:r>
      <w:r w:rsidRPr="000B6220">
        <w:t xml:space="preserve"> représenté par M</w:t>
      </w:r>
      <w:r w:rsidRPr="000B6220">
        <w:rPr>
          <w:vertAlign w:val="superscript"/>
        </w:rPr>
        <w:t>e</w:t>
      </w:r>
      <w:r w:rsidRPr="000B6220">
        <w:t> </w:t>
      </w:r>
      <w:r w:rsidRPr="000B6220" w:rsidR="00487DB2">
        <w:t xml:space="preserve">J.M. Burns, avocat à Georgetown (Canada), </w:t>
      </w:r>
      <w:r w:rsidRPr="000B6220" w:rsidR="00710317">
        <w:t>M</w:t>
      </w:r>
      <w:r w:rsidRPr="000B6220" w:rsidR="00710317">
        <w:rPr>
          <w:vertAlign w:val="superscript"/>
        </w:rPr>
        <w:t>e</w:t>
      </w:r>
      <w:r w:rsidRPr="000B6220" w:rsidR="00710317">
        <w:t xml:space="preserve"> </w:t>
      </w:r>
      <w:r w:rsidRPr="000B6220">
        <w:t>A. Carbonneau</w:t>
      </w:r>
      <w:r w:rsidRPr="000B6220" w:rsidR="00487DB2">
        <w:t>, avocat</w:t>
      </w:r>
      <w:r w:rsidRPr="000B6220">
        <w:t xml:space="preserve"> à Patterson</w:t>
      </w:r>
      <w:r w:rsidRPr="000B6220" w:rsidR="00487DB2">
        <w:t xml:space="preserve"> (Etats-Unis d</w:t>
      </w:r>
      <w:r w:rsidR="002257E9">
        <w:t>’</w:t>
      </w:r>
      <w:r w:rsidRPr="000B6220" w:rsidR="008560AF">
        <w:t>Amérique) et</w:t>
      </w:r>
      <w:r w:rsidRPr="000B6220" w:rsidR="00487DB2">
        <w:t xml:space="preserve"> </w:t>
      </w:r>
      <w:r w:rsidRPr="000B6220" w:rsidR="00710317">
        <w:t>M</w:t>
      </w:r>
      <w:r w:rsidRPr="000B6220" w:rsidR="00710317">
        <w:rPr>
          <w:vertAlign w:val="superscript"/>
        </w:rPr>
        <w:t>e</w:t>
      </w:r>
      <w:r w:rsidRPr="000B6220" w:rsidR="00710317">
        <w:t xml:space="preserve"> </w:t>
      </w:r>
      <w:r w:rsidRPr="000B6220" w:rsidR="00487DB2">
        <w:t>R. Khachatryan, avocat à Erevan</w:t>
      </w:r>
      <w:r w:rsidRPr="000B6220" w:rsidR="00291791">
        <w:t xml:space="preserve">, et </w:t>
      </w:r>
      <w:r w:rsidR="00124592">
        <w:t xml:space="preserve">par </w:t>
      </w:r>
      <w:r w:rsidRPr="000B6220" w:rsidR="008560AF">
        <w:t xml:space="preserve">M. </w:t>
      </w:r>
      <w:r w:rsidRPr="000B6220" w:rsidR="00291791">
        <w:t xml:space="preserve">P. Muzny, professeur de droit aux universités de </w:t>
      </w:r>
      <w:r w:rsidRPr="000B6220" w:rsidR="0073424B">
        <w:t>Savoie</w:t>
      </w:r>
      <w:r w:rsidRPr="000B6220" w:rsidR="00291791">
        <w:t xml:space="preserve"> et de Genève. Le gouvernement arménien (« le Gouvernement ») a été représenté par son agent, M. G. Kostanyan, représentant de la République d</w:t>
      </w:r>
      <w:r w:rsidR="002257E9">
        <w:t>’</w:t>
      </w:r>
      <w:r w:rsidRPr="000B6220" w:rsidR="00291791">
        <w:t>Arménie auprès de la Cour européenne des droits de l</w:t>
      </w:r>
      <w:r w:rsidR="002257E9">
        <w:t>’</w:t>
      </w:r>
      <w:r w:rsidRPr="000B6220" w:rsidR="00291791">
        <w:t>homme.</w:t>
      </w:r>
    </w:p>
    <w:p w:rsidRPr="000B6220" w:rsidR="00BB71B1" w:rsidP="00E05F30" w:rsidRDefault="00BB71B1">
      <w:pPr>
        <w:pStyle w:val="JuPara"/>
      </w:pPr>
      <w:r w:rsidRPr="000B6220">
        <w:rPr>
          <w:szCs w:val="24"/>
        </w:rPr>
        <w:fldChar w:fldCharType="begin"/>
      </w:r>
      <w:r w:rsidRPr="000B6220">
        <w:rPr>
          <w:szCs w:val="24"/>
        </w:rPr>
        <w:instrText xml:space="preserve"> SEQ level0 \*arabic </w:instrText>
      </w:r>
      <w:r w:rsidRPr="000B6220">
        <w:rPr>
          <w:szCs w:val="24"/>
        </w:rPr>
        <w:fldChar w:fldCharType="separate"/>
      </w:r>
      <w:r w:rsidR="00226498">
        <w:rPr>
          <w:noProof/>
          <w:szCs w:val="24"/>
        </w:rPr>
        <w:t>3</w:t>
      </w:r>
      <w:r w:rsidRPr="000B6220">
        <w:rPr>
          <w:szCs w:val="24"/>
        </w:rPr>
        <w:fldChar w:fldCharType="end"/>
      </w:r>
      <w:r w:rsidRPr="000B6220" w:rsidR="00291791">
        <w:rPr>
          <w:szCs w:val="24"/>
        </w:rPr>
        <w:t xml:space="preserve">.  Le requérant alléguait </w:t>
      </w:r>
      <w:r w:rsidRPr="000B6220">
        <w:rPr>
          <w:szCs w:val="24"/>
        </w:rPr>
        <w:t>en particuli</w:t>
      </w:r>
      <w:r w:rsidRPr="000B6220" w:rsidR="00291791">
        <w:rPr>
          <w:szCs w:val="24"/>
        </w:rPr>
        <w:t>er</w:t>
      </w:r>
      <w:r w:rsidRPr="000B6220">
        <w:rPr>
          <w:szCs w:val="24"/>
        </w:rPr>
        <w:t xml:space="preserve"> </w:t>
      </w:r>
      <w:r w:rsidRPr="000B6220" w:rsidR="00291791">
        <w:rPr>
          <w:szCs w:val="24"/>
        </w:rPr>
        <w:t>que sa condamnation pour avoir refusé de servir dans l</w:t>
      </w:r>
      <w:r w:rsidR="002257E9">
        <w:rPr>
          <w:szCs w:val="24"/>
        </w:rPr>
        <w:t>’</w:t>
      </w:r>
      <w:r w:rsidRPr="000B6220" w:rsidR="00291791">
        <w:rPr>
          <w:szCs w:val="24"/>
        </w:rPr>
        <w:t>armée avait emporté violation de son droit à la liberté de pensée, de conscience et de religion</w:t>
      </w:r>
      <w:r w:rsidRPr="000B6220">
        <w:rPr>
          <w:szCs w:val="24"/>
        </w:rPr>
        <w:t>.</w:t>
      </w:r>
    </w:p>
    <w:p w:rsidR="00C27424"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4</w:t>
      </w:r>
      <w:r w:rsidRPr="000B6220">
        <w:fldChar w:fldCharType="end"/>
      </w:r>
      <w:r w:rsidRPr="000B6220">
        <w:t xml:space="preserve">.  La requête a été attribuée à la </w:t>
      </w:r>
      <w:r w:rsidRPr="000B6220" w:rsidR="006C6ADE">
        <w:t>troisième</w:t>
      </w:r>
      <w:r w:rsidRPr="000B6220">
        <w:t xml:space="preserve"> section de la Cour </w:t>
      </w:r>
      <w:r w:rsidR="00C27424">
        <w:t xml:space="preserve">(article 52 </w:t>
      </w:r>
      <w:r w:rsidRPr="000B6220" w:rsidR="006C6ADE">
        <w:t>§ 1 du règlement</w:t>
      </w:r>
      <w:r w:rsidRPr="000B6220" w:rsidR="00321852">
        <w:t xml:space="preserve"> de la Cour</w:t>
      </w:r>
      <w:r w:rsidR="00124592">
        <w:t>, « le règlement »</w:t>
      </w:r>
      <w:r w:rsidRPr="000B6220" w:rsidR="006C6ADE">
        <w:t xml:space="preserve">). </w:t>
      </w:r>
      <w:r w:rsidR="00C27424">
        <w:t xml:space="preserve">Le 12 décembre </w:t>
      </w:r>
      <w:r w:rsidRPr="000B6220">
        <w:t xml:space="preserve">2006, </w:t>
      </w:r>
      <w:r w:rsidRPr="000B6220" w:rsidR="002F42ED">
        <w:t>elle a été déclarée partiellement</w:t>
      </w:r>
      <w:r w:rsidRPr="000B6220">
        <w:t xml:space="preserve"> recevable par une chambre de </w:t>
      </w:r>
      <w:r w:rsidRPr="000B6220" w:rsidR="00321852">
        <w:t>cette</w:t>
      </w:r>
      <w:r w:rsidRPr="000B6220">
        <w:t xml:space="preserve"> section composée </w:t>
      </w:r>
      <w:r w:rsidR="00A357E9">
        <w:t xml:space="preserve">de </w:t>
      </w:r>
      <w:r w:rsidRPr="000B6220" w:rsidR="002F42ED">
        <w:rPr>
          <w:noProof/>
        </w:rPr>
        <w:t>Boštjan M. Zupanči</w:t>
      </w:r>
      <w:r w:rsidRPr="000B6220" w:rsidR="007545C6">
        <w:rPr>
          <w:noProof/>
        </w:rPr>
        <w:t>č</w:t>
      </w:r>
      <w:r w:rsidR="000424CE">
        <w:rPr>
          <w:noProof/>
        </w:rPr>
        <w:t>,</w:t>
      </w:r>
      <w:r w:rsidRPr="00A357E9" w:rsidR="002F42ED">
        <w:rPr>
          <w:i/>
          <w:noProof/>
        </w:rPr>
        <w:t xml:space="preserve"> </w:t>
      </w:r>
      <w:r w:rsidRPr="00742913" w:rsidR="002F42ED">
        <w:rPr>
          <w:rStyle w:val="Emphasis"/>
          <w:i w:val="0"/>
          <w:noProof/>
        </w:rPr>
        <w:t>président</w:t>
      </w:r>
      <w:r w:rsidRPr="00C01626" w:rsidR="002F42ED">
        <w:rPr>
          <w:noProof/>
        </w:rPr>
        <w:t>,</w:t>
      </w:r>
      <w:r w:rsidRPr="00A357E9" w:rsidR="002F42ED">
        <w:rPr>
          <w:i/>
          <w:noProof/>
        </w:rPr>
        <w:t xml:space="preserve"> </w:t>
      </w:r>
      <w:r w:rsidRPr="000B6220" w:rsidR="002F42ED">
        <w:rPr>
          <w:noProof/>
        </w:rPr>
        <w:t>John Hedigan,</w:t>
      </w:r>
      <w:r w:rsidRPr="000B6220" w:rsidR="002F42ED">
        <w:rPr>
          <w:noProof/>
          <w:color w:val="0000FF"/>
          <w:sz w:val="20"/>
        </w:rPr>
        <w:t xml:space="preserve"> </w:t>
      </w:r>
      <w:r w:rsidRPr="000B6220" w:rsidR="002F42ED">
        <w:rPr>
          <w:noProof/>
        </w:rPr>
        <w:t>Corneliu Bîrsan, Vladimiro Zag</w:t>
      </w:r>
      <w:r w:rsidR="00C01626">
        <w:rPr>
          <w:noProof/>
        </w:rPr>
        <w:t>rebelsky, Alvina Gyulumyan, Daví</w:t>
      </w:r>
      <w:r w:rsidRPr="000B6220" w:rsidR="002F42ED">
        <w:rPr>
          <w:noProof/>
        </w:rPr>
        <w:t>d Thór Björgvinsson, Isabelle Berro-Lefèvre</w:t>
      </w:r>
      <w:r w:rsidR="000424CE">
        <w:rPr>
          <w:noProof/>
        </w:rPr>
        <w:t>,</w:t>
      </w:r>
      <w:r w:rsidRPr="00A357E9" w:rsidR="002F42ED">
        <w:rPr>
          <w:i/>
          <w:noProof/>
          <w:color w:val="0000FF"/>
          <w:sz w:val="20"/>
        </w:rPr>
        <w:t xml:space="preserve"> </w:t>
      </w:r>
      <w:r w:rsidRPr="000424CE" w:rsidR="002F42ED">
        <w:rPr>
          <w:rStyle w:val="Emphasis"/>
          <w:i w:val="0"/>
          <w:noProof/>
        </w:rPr>
        <w:t>juge</w:t>
      </w:r>
      <w:r w:rsidR="007545C6">
        <w:rPr>
          <w:rStyle w:val="Emphasis"/>
          <w:i w:val="0"/>
          <w:noProof/>
        </w:rPr>
        <w:t>s</w:t>
      </w:r>
      <w:r w:rsidR="000424CE">
        <w:rPr>
          <w:rStyle w:val="Emphasis"/>
          <w:i w:val="0"/>
          <w:noProof/>
        </w:rPr>
        <w:t>,</w:t>
      </w:r>
      <w:r w:rsidRPr="00A357E9" w:rsidR="002F42ED">
        <w:rPr>
          <w:i/>
        </w:rPr>
        <w:t xml:space="preserve"> </w:t>
      </w:r>
      <w:r w:rsidRPr="000B6220" w:rsidR="002F42ED">
        <w:t xml:space="preserve">ainsi que de Vincent Berger, </w:t>
      </w:r>
      <w:r w:rsidRPr="00F30540" w:rsidR="008560AF">
        <w:t>greffier de section</w:t>
      </w:r>
      <w:r w:rsidRPr="00F30540" w:rsidR="002F42ED">
        <w:t xml:space="preserve">. </w:t>
      </w:r>
      <w:r w:rsidRPr="00F30540" w:rsidR="00146229">
        <w:t>Le 27 octobre 2009, une chambre</w:t>
      </w:r>
      <w:r w:rsidRPr="00F30540" w:rsidR="002F42ED">
        <w:t xml:space="preserve"> de cette section, composée </w:t>
      </w:r>
      <w:r w:rsidRPr="00F30540" w:rsidR="00A357E9">
        <w:t>de</w:t>
      </w:r>
      <w:r w:rsidR="0058765F">
        <w:t xml:space="preserve"> </w:t>
      </w:r>
      <w:r w:rsidR="000424CE">
        <w:rPr>
          <w:noProof/>
        </w:rPr>
        <w:t>Josep Casadeva</w:t>
      </w:r>
      <w:r w:rsidR="00803598">
        <w:rPr>
          <w:noProof/>
        </w:rPr>
        <w:t>l</w:t>
      </w:r>
      <w:r w:rsidR="000424CE">
        <w:rPr>
          <w:noProof/>
        </w:rPr>
        <w:t>l,</w:t>
      </w:r>
      <w:r w:rsidRPr="00F30540" w:rsidR="002F42ED">
        <w:rPr>
          <w:i/>
          <w:iCs/>
          <w:noProof/>
        </w:rPr>
        <w:t xml:space="preserve"> </w:t>
      </w:r>
      <w:r w:rsidRPr="00742913" w:rsidR="002F42ED">
        <w:rPr>
          <w:rStyle w:val="Emphasis"/>
          <w:i w:val="0"/>
          <w:noProof/>
        </w:rPr>
        <w:t>président</w:t>
      </w:r>
      <w:r w:rsidR="000424CE">
        <w:rPr>
          <w:iCs/>
          <w:noProof/>
        </w:rPr>
        <w:t xml:space="preserve">, </w:t>
      </w:r>
      <w:r w:rsidRPr="00F30540" w:rsidR="002F42ED">
        <w:rPr>
          <w:noProof/>
        </w:rPr>
        <w:t>Elisabet Fura,</w:t>
      </w:r>
      <w:r w:rsidRPr="00F30540" w:rsidR="002F42ED">
        <w:rPr>
          <w:noProof/>
          <w:color w:val="0000FF"/>
          <w:sz w:val="20"/>
        </w:rPr>
        <w:t xml:space="preserve"> </w:t>
      </w:r>
      <w:r w:rsidRPr="00F30540" w:rsidR="002F42ED">
        <w:rPr>
          <w:noProof/>
        </w:rPr>
        <w:t>Corneliu Bîrsan, Boštjan M. Zupančič, Alvina Gyulumyan, Egbert Myjer, Ann Power</w:t>
      </w:r>
      <w:r w:rsidRPr="00F30540" w:rsidR="002F42ED">
        <w:rPr>
          <w:i/>
          <w:noProof/>
        </w:rPr>
        <w:t xml:space="preserve">, </w:t>
      </w:r>
      <w:r w:rsidRPr="00F30540" w:rsidR="002F42ED">
        <w:rPr>
          <w:rStyle w:val="Emphasis"/>
          <w:i w:val="0"/>
          <w:noProof/>
        </w:rPr>
        <w:t>juges</w:t>
      </w:r>
      <w:r w:rsidRPr="00F30540" w:rsidR="002F42ED">
        <w:rPr>
          <w:i/>
          <w:noProof/>
        </w:rPr>
        <w:t>,</w:t>
      </w:r>
      <w:r w:rsidRPr="00F30540" w:rsidR="002F42ED">
        <w:rPr>
          <w:i/>
        </w:rPr>
        <w:t xml:space="preserve"> </w:t>
      </w:r>
      <w:r w:rsidRPr="00F30540" w:rsidR="002F42ED">
        <w:t>ainsi que de Stanley Naismith</w:t>
      </w:r>
      <w:r w:rsidRPr="00F30540">
        <w:t xml:space="preserve">, </w:t>
      </w:r>
      <w:r w:rsidRPr="00F30540" w:rsidR="002F42ED">
        <w:t>greffier adjoint de section,</w:t>
      </w:r>
      <w:r w:rsidRPr="00F30540">
        <w:t xml:space="preserve"> </w:t>
      </w:r>
      <w:r w:rsidRPr="00F30540" w:rsidR="002F42ED">
        <w:t>a rendu un arrêt</w:t>
      </w:r>
      <w:r w:rsidRPr="000B6220" w:rsidR="002F42ED">
        <w:t xml:space="preserve"> </w:t>
      </w:r>
      <w:r w:rsidR="00F30540">
        <w:t>dans lequel elle</w:t>
      </w:r>
      <w:r w:rsidRPr="000B6220" w:rsidR="002F42ED">
        <w:t xml:space="preserve"> conclu</w:t>
      </w:r>
      <w:r w:rsidR="00F30540">
        <w:t>ait</w:t>
      </w:r>
      <w:r w:rsidRPr="000B6220" w:rsidR="00321852">
        <w:t>, par six voix cont</w:t>
      </w:r>
      <w:r w:rsidRPr="000B6220" w:rsidR="002F42ED">
        <w:t>re une</w:t>
      </w:r>
      <w:r w:rsidRPr="000B6220" w:rsidR="00321852">
        <w:t>,</w:t>
      </w:r>
      <w:r w:rsidRPr="000B6220" w:rsidR="002F42ED">
        <w:t xml:space="preserve"> à la non-violation de l</w:t>
      </w:r>
      <w:r w:rsidR="002257E9">
        <w:t>’</w:t>
      </w:r>
      <w:r w:rsidRPr="000B6220" w:rsidR="002F42ED">
        <w:t xml:space="preserve">article 9 de la Convention. </w:t>
      </w:r>
      <w:r w:rsidR="00F30540">
        <w:t>A l</w:t>
      </w:r>
      <w:r w:rsidR="002257E9">
        <w:t>’</w:t>
      </w:r>
      <w:r w:rsidR="00F30540">
        <w:t>arrêt se trouvait joint le texte de deux opinions séparées : l</w:t>
      </w:r>
      <w:r w:rsidR="002257E9">
        <w:t>’</w:t>
      </w:r>
      <w:r w:rsidR="00F30540">
        <w:t>une</w:t>
      </w:r>
      <w:r w:rsidR="000424CE">
        <w:t>,</w:t>
      </w:r>
      <w:r w:rsidR="00F30540">
        <w:t xml:space="preserve"> concordante</w:t>
      </w:r>
      <w:r w:rsidR="000424CE">
        <w:t>,</w:t>
      </w:r>
      <w:r w:rsidR="00F30540">
        <w:t xml:space="preserve"> de la juge Fura, l</w:t>
      </w:r>
      <w:r w:rsidR="002257E9">
        <w:t>’</w:t>
      </w:r>
      <w:r w:rsidR="00F30540">
        <w:t>autre</w:t>
      </w:r>
      <w:r w:rsidR="000424CE">
        <w:t>,</w:t>
      </w:r>
      <w:r w:rsidR="00F30540">
        <w:t xml:space="preserve"> dissidente</w:t>
      </w:r>
      <w:r w:rsidR="000424CE">
        <w:t>,</w:t>
      </w:r>
      <w:r w:rsidR="00F30540">
        <w:t xml:space="preserve"> de </w:t>
      </w:r>
      <w:r w:rsidRPr="000B6220" w:rsidR="002F42ED">
        <w:t>la juge Power.</w:t>
      </w:r>
    </w:p>
    <w:p w:rsidRPr="000B6220" w:rsidR="002F42ED"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5</w:t>
      </w:r>
      <w:r w:rsidRPr="000B6220">
        <w:fldChar w:fldCharType="end"/>
      </w:r>
      <w:r w:rsidRPr="000B6220">
        <w:t>.  </w:t>
      </w:r>
      <w:r w:rsidRPr="000B6220" w:rsidR="002F42ED">
        <w:t xml:space="preserve">Le </w:t>
      </w:r>
      <w:r w:rsidR="00C27424">
        <w:t xml:space="preserve">25 </w:t>
      </w:r>
      <w:r w:rsidRPr="000B6220" w:rsidR="00F30540">
        <w:t>janvier 2010,</w:t>
      </w:r>
      <w:r w:rsidR="000A2D35">
        <w:t xml:space="preserve"> le requérant a sollicité le renvoi de l</w:t>
      </w:r>
      <w:r w:rsidR="002257E9">
        <w:t>’</w:t>
      </w:r>
      <w:r w:rsidR="000A2D35">
        <w:t xml:space="preserve">affaire devant la Grande Chambre </w:t>
      </w:r>
      <w:r w:rsidR="000424CE">
        <w:t>(</w:t>
      </w:r>
      <w:r w:rsidRPr="000B6220" w:rsidR="000A2D35">
        <w:t>article 43 de la Convention</w:t>
      </w:r>
      <w:r w:rsidR="000424CE">
        <w:t>)</w:t>
      </w:r>
      <w:r w:rsidR="000A2D35">
        <w:t>.</w:t>
      </w:r>
      <w:r w:rsidRPr="000B6220" w:rsidR="003F3A7B">
        <w:t xml:space="preserve"> </w:t>
      </w:r>
      <w:r w:rsidR="000A2D35">
        <w:t>Le</w:t>
      </w:r>
      <w:r w:rsidRPr="000B6220" w:rsidR="002F42ED">
        <w:t xml:space="preserve"> </w:t>
      </w:r>
      <w:r w:rsidRPr="000B6220" w:rsidR="000A2D35">
        <w:t>10</w:t>
      </w:r>
      <w:r w:rsidR="00C27424">
        <w:t xml:space="preserve"> </w:t>
      </w:r>
      <w:r w:rsidRPr="000B6220" w:rsidR="000A2D35">
        <w:t>mai 2010,</w:t>
      </w:r>
      <w:r w:rsidR="000A2D35">
        <w:t xml:space="preserve"> le </w:t>
      </w:r>
      <w:r w:rsidRPr="000B6220" w:rsidR="002F42ED">
        <w:t xml:space="preserve">collège de la Grande Chambre a </w:t>
      </w:r>
      <w:r w:rsidR="000424CE">
        <w:t>fait</w:t>
      </w:r>
      <w:r w:rsidR="000A2D35">
        <w:t xml:space="preserve"> droit à cette demande</w:t>
      </w:r>
      <w:r w:rsidRPr="000B6220" w:rsidR="002F42ED">
        <w:t>.</w:t>
      </w:r>
    </w:p>
    <w:p w:rsidRPr="000B6220" w:rsidR="002F42ED" w:rsidP="00E05F30" w:rsidRDefault="002F42ED">
      <w:pPr>
        <w:pStyle w:val="JuPara"/>
      </w:pPr>
      <w:r w:rsidRPr="000B6220">
        <w:fldChar w:fldCharType="begin"/>
      </w:r>
      <w:r w:rsidRPr="000B6220">
        <w:instrText xml:space="preserve"> SEQ level0 \*arabic </w:instrText>
      </w:r>
      <w:r w:rsidRPr="000B6220">
        <w:fldChar w:fldCharType="separate"/>
      </w:r>
      <w:r w:rsidR="00226498">
        <w:rPr>
          <w:noProof/>
        </w:rPr>
        <w:t>6</w:t>
      </w:r>
      <w:r w:rsidRPr="000B6220">
        <w:fldChar w:fldCharType="end"/>
      </w:r>
      <w:r w:rsidRPr="000B6220">
        <w:t>.  </w:t>
      </w:r>
      <w:r w:rsidRPr="000B6220" w:rsidR="00BB71B1">
        <w:t>La composition de la Grande Chambre a été arrêtée conformément aux articles 26 §§ 4 et 5 de la Convention et 24 du règlement.</w:t>
      </w:r>
    </w:p>
    <w:p w:rsidRPr="000B6220" w:rsidR="00663EC4" w:rsidP="00E05F30" w:rsidRDefault="002F42ED">
      <w:pPr>
        <w:pStyle w:val="JuPara"/>
      </w:pPr>
      <w:r w:rsidRPr="000B6220">
        <w:fldChar w:fldCharType="begin"/>
      </w:r>
      <w:r w:rsidRPr="000B6220">
        <w:instrText xml:space="preserve"> SEQ level0 \*arabic </w:instrText>
      </w:r>
      <w:r w:rsidRPr="000B6220">
        <w:fldChar w:fldCharType="separate"/>
      </w:r>
      <w:r w:rsidR="00226498">
        <w:rPr>
          <w:noProof/>
        </w:rPr>
        <w:t>7</w:t>
      </w:r>
      <w:r w:rsidRPr="000B6220">
        <w:fldChar w:fldCharType="end"/>
      </w:r>
      <w:r w:rsidRPr="000B6220">
        <w:t>.  </w:t>
      </w:r>
      <w:r w:rsidRPr="000B6220" w:rsidR="00BB71B1">
        <w:t xml:space="preserve">Tant le requérant que le Gouvernement ont </w:t>
      </w:r>
      <w:r w:rsidRPr="000B6220">
        <w:t xml:space="preserve">déposé des observations écrites. En outre, </w:t>
      </w:r>
      <w:r w:rsidRPr="000B6220" w:rsidR="00663EC4">
        <w:t xml:space="preserve">des </w:t>
      </w:r>
      <w:r w:rsidR="00751E27">
        <w:t>observations</w:t>
      </w:r>
      <w:r w:rsidRPr="000B6220" w:rsidR="00663EC4">
        <w:t xml:space="preserve"> ont été reçues de plusieurs organisation</w:t>
      </w:r>
      <w:r w:rsidRPr="000B6220" w:rsidR="003F3A7B">
        <w:t>s</w:t>
      </w:r>
      <w:r w:rsidRPr="000B6220" w:rsidR="00663EC4">
        <w:t>, l</w:t>
      </w:r>
      <w:r w:rsidR="00751E27">
        <w:t>es unes</w:t>
      </w:r>
      <w:r w:rsidRPr="000B6220" w:rsidR="00663EC4">
        <w:t xml:space="preserve"> rédigée</w:t>
      </w:r>
      <w:r w:rsidR="00751E27">
        <w:t>s</w:t>
      </w:r>
      <w:r w:rsidRPr="000B6220" w:rsidR="00663EC4">
        <w:t xml:space="preserve"> conjointement par Amnesty International, Conscience and Peace Tax International, Friends World Committee for Consultation (Quakers), la Commission international</w:t>
      </w:r>
      <w:r w:rsidRPr="000B6220" w:rsidR="00CE4C34">
        <w:t>e de</w:t>
      </w:r>
      <w:r w:rsidRPr="000B6220" w:rsidR="00663EC4">
        <w:t xml:space="preserve"> juristes et </w:t>
      </w:r>
      <w:r w:rsidRPr="000B6220" w:rsidR="00CE4C34">
        <w:t>l</w:t>
      </w:r>
      <w:r w:rsidR="002257E9">
        <w:t>’</w:t>
      </w:r>
      <w:r w:rsidRPr="000B6220" w:rsidR="00CE4C34">
        <w:t>Internationale des résistants à la guerre (</w:t>
      </w:r>
      <w:r w:rsidRPr="000B6220" w:rsidR="00663EC4">
        <w:t>War Resisters</w:t>
      </w:r>
      <w:r w:rsidR="002257E9">
        <w:t>’</w:t>
      </w:r>
      <w:r w:rsidRPr="000B6220" w:rsidR="00663EC4">
        <w:t xml:space="preserve"> International</w:t>
      </w:r>
      <w:r w:rsidRPr="000B6220" w:rsidR="00CE4C34">
        <w:t>)</w:t>
      </w:r>
      <w:r w:rsidRPr="000B6220" w:rsidR="00663EC4">
        <w:t>, et l</w:t>
      </w:r>
      <w:r w:rsidR="00751E27">
        <w:t xml:space="preserve">es </w:t>
      </w:r>
      <w:r w:rsidRPr="000B6220" w:rsidR="00663EC4">
        <w:t>autre</w:t>
      </w:r>
      <w:r w:rsidR="00751E27">
        <w:t>s</w:t>
      </w:r>
      <w:r w:rsidRPr="000B6220" w:rsidR="00663EC4">
        <w:t xml:space="preserve"> </w:t>
      </w:r>
      <w:r w:rsidRPr="000B6220" w:rsidR="003F3A7B">
        <w:t xml:space="preserve">émanant </w:t>
      </w:r>
      <w:r w:rsidRPr="000B6220" w:rsidR="00663EC4">
        <w:t>de l</w:t>
      </w:r>
      <w:r w:rsidR="002257E9">
        <w:t>’</w:t>
      </w:r>
      <w:r w:rsidR="00751E27">
        <w:t>A</w:t>
      </w:r>
      <w:r w:rsidRPr="000B6220" w:rsidR="00663EC4">
        <w:t xml:space="preserve">ssociation européenne des </w:t>
      </w:r>
      <w:r w:rsidRPr="000B6220" w:rsidR="00D01D9D">
        <w:t xml:space="preserve">chrétiens </w:t>
      </w:r>
      <w:r w:rsidRPr="000B6220" w:rsidR="00663EC4">
        <w:t xml:space="preserve">témoins de Jéhovah, toutes </w:t>
      </w:r>
      <w:r w:rsidRPr="000B6220" w:rsidR="00321852">
        <w:t>organisations</w:t>
      </w:r>
      <w:r w:rsidR="006461CF">
        <w:t xml:space="preserve"> que le p</w:t>
      </w:r>
      <w:r w:rsidRPr="000B6220" w:rsidR="00663EC4">
        <w:t xml:space="preserve">résident avait autorisées à </w:t>
      </w:r>
      <w:r w:rsidRPr="000B6220" w:rsidR="00BB71B1">
        <w:t>intervenir dans la procédure écrite (articles 3</w:t>
      </w:r>
      <w:r w:rsidR="00C27424">
        <w:t xml:space="preserve">6 § </w:t>
      </w:r>
      <w:r w:rsidRPr="000B6220" w:rsidR="00663EC4">
        <w:t>2 de la Convention et 44 § 3</w:t>
      </w:r>
      <w:r w:rsidRPr="000B6220" w:rsidR="00BB71B1">
        <w:t xml:space="preserve"> du règlement)</w:t>
      </w:r>
      <w:r w:rsidRPr="000B6220" w:rsidR="00663EC4">
        <w:t>.</w:t>
      </w:r>
    </w:p>
    <w:p w:rsidR="006C5B9E"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8</w:t>
      </w:r>
      <w:r w:rsidRPr="000B6220">
        <w:fldChar w:fldCharType="end"/>
      </w:r>
      <w:r w:rsidRPr="000B6220" w:rsidR="006C5B9E">
        <w:t>.  Une audience s</w:t>
      </w:r>
      <w:r w:rsidR="002257E9">
        <w:t>’</w:t>
      </w:r>
      <w:r w:rsidRPr="000B6220" w:rsidR="006C5B9E">
        <w:t xml:space="preserve">est déroulée en public au Palais des </w:t>
      </w:r>
      <w:r w:rsidRPr="000B6220" w:rsidR="003D71AE">
        <w:t>d</w:t>
      </w:r>
      <w:r w:rsidRPr="000B6220" w:rsidR="006C5B9E">
        <w:t>roits de l</w:t>
      </w:r>
      <w:r w:rsidR="002257E9">
        <w:t>’</w:t>
      </w:r>
      <w:r w:rsidRPr="000B6220" w:rsidR="003D71AE">
        <w:t>h</w:t>
      </w:r>
      <w:r w:rsidRPr="000B6220" w:rsidR="006C5B9E">
        <w:t xml:space="preserve">omme, à Strasbourg, le </w:t>
      </w:r>
      <w:r w:rsidRPr="000B6220" w:rsidR="00663EC4">
        <w:t>24 novembre 2010</w:t>
      </w:r>
      <w:r w:rsidRPr="000B6220" w:rsidR="006C5B9E">
        <w:t xml:space="preserve"> (article 59 § 3 du règlement).</w:t>
      </w:r>
    </w:p>
    <w:p w:rsidRPr="000B6220" w:rsidR="00C01626" w:rsidP="00E05F30" w:rsidRDefault="00C01626">
      <w:pPr>
        <w:pStyle w:val="JuPara"/>
      </w:pPr>
    </w:p>
    <w:p w:rsidRPr="000B6220" w:rsidR="006C5B9E" w:rsidP="00E05F30" w:rsidRDefault="006C5B9E">
      <w:pPr>
        <w:pStyle w:val="JuPara"/>
        <w:keepNext/>
        <w:keepLines/>
      </w:pPr>
      <w:r w:rsidRPr="000B6220">
        <w:t>Ont comparu :</w:t>
      </w:r>
    </w:p>
    <w:p w:rsidRPr="000B6220" w:rsidR="006C5B9E" w:rsidP="00E05F30" w:rsidRDefault="006C5B9E">
      <w:pPr>
        <w:pStyle w:val="JuCourt"/>
        <w:keepLines/>
      </w:pPr>
      <w:r w:rsidRPr="000B6220">
        <w:t>–  </w:t>
      </w:r>
      <w:r w:rsidRPr="000B6220">
        <w:rPr>
          <w:i/>
        </w:rPr>
        <w:t>pour le Gouvernement</w:t>
      </w:r>
      <w:r w:rsidRPr="000B6220">
        <w:br/>
        <w:t>MM.</w:t>
      </w:r>
      <w:r w:rsidRPr="000B6220">
        <w:tab/>
      </w:r>
      <w:r w:rsidRPr="000B6220" w:rsidR="00663EC4">
        <w:t>G.</w:t>
      </w:r>
      <w:r w:rsidRPr="000B6220">
        <w:t xml:space="preserve"> </w:t>
      </w:r>
      <w:r w:rsidRPr="000B6220" w:rsidR="00663EC4">
        <w:rPr>
          <w:rStyle w:val="JuNames"/>
        </w:rPr>
        <w:t>Kostanyan</w:t>
      </w:r>
      <w:r w:rsidR="00B13EC1">
        <w:t xml:space="preserve">, </w:t>
      </w:r>
      <w:r w:rsidR="00742913">
        <w:tab/>
      </w:r>
      <w:r w:rsidRPr="000B6220">
        <w:rPr>
          <w:i/>
        </w:rPr>
        <w:t>agent</w:t>
      </w:r>
      <w:r w:rsidRPr="000B6220">
        <w:t>,</w:t>
      </w:r>
      <w:r w:rsidRPr="000B6220">
        <w:br/>
      </w:r>
      <w:r w:rsidRPr="000B6220">
        <w:tab/>
      </w:r>
      <w:r w:rsidRPr="000B6220" w:rsidR="00663EC4">
        <w:t>E.</w:t>
      </w:r>
      <w:r w:rsidRPr="000B6220">
        <w:t xml:space="preserve"> </w:t>
      </w:r>
      <w:r w:rsidRPr="000B6220" w:rsidR="00663EC4">
        <w:rPr>
          <w:rStyle w:val="JuNames"/>
        </w:rPr>
        <w:t>Babayan</w:t>
      </w:r>
      <w:r w:rsidR="00B13EC1">
        <w:t xml:space="preserve">, </w:t>
      </w:r>
      <w:r w:rsidR="00742913">
        <w:tab/>
      </w:r>
      <w:r w:rsidRPr="000B6220" w:rsidR="00663EC4">
        <w:rPr>
          <w:i/>
        </w:rPr>
        <w:t>agent adjoint </w:t>
      </w:r>
      <w:r w:rsidRPr="00C01626" w:rsidR="00663EC4">
        <w:t>;</w:t>
      </w:r>
    </w:p>
    <w:p w:rsidRPr="00810190" w:rsidR="00810190" w:rsidP="00E05F30" w:rsidRDefault="006C5B9E">
      <w:pPr>
        <w:pStyle w:val="JuCourt"/>
        <w:keepLines/>
        <w:rPr>
          <w:i/>
        </w:rPr>
      </w:pPr>
      <w:r w:rsidRPr="000B6220">
        <w:t>–  </w:t>
      </w:r>
      <w:r w:rsidRPr="000B6220">
        <w:rPr>
          <w:i/>
        </w:rPr>
        <w:t xml:space="preserve">pour </w:t>
      </w:r>
      <w:r w:rsidRPr="000B6220" w:rsidR="00BB71B1">
        <w:rPr>
          <w:i/>
        </w:rPr>
        <w:t>le requérant</w:t>
      </w:r>
      <w:r w:rsidRPr="000B6220">
        <w:br/>
        <w:t>MM.</w:t>
      </w:r>
      <w:r w:rsidRPr="000B6220">
        <w:tab/>
      </w:r>
      <w:r w:rsidRPr="000B6220" w:rsidR="006A0113">
        <w:t>A.</w:t>
      </w:r>
      <w:r w:rsidRPr="000B6220">
        <w:t xml:space="preserve"> </w:t>
      </w:r>
      <w:r w:rsidRPr="000B6220" w:rsidR="006A0113">
        <w:rPr>
          <w:rStyle w:val="JuNames"/>
        </w:rPr>
        <w:t>Carbonneau</w:t>
      </w:r>
      <w:r w:rsidR="00B13EC1">
        <w:t xml:space="preserve">, </w:t>
      </w:r>
      <w:r w:rsidRPr="000B6220" w:rsidR="006A0113">
        <w:br/>
      </w:r>
      <w:r w:rsidRPr="000B6220">
        <w:tab/>
      </w:r>
      <w:r w:rsidRPr="000B6220" w:rsidR="006A0113">
        <w:t>P.</w:t>
      </w:r>
      <w:r w:rsidRPr="000B6220">
        <w:t xml:space="preserve"> </w:t>
      </w:r>
      <w:r w:rsidRPr="000B6220" w:rsidR="006A0113">
        <w:rPr>
          <w:rStyle w:val="JuNames"/>
        </w:rPr>
        <w:t>Muzny</w:t>
      </w:r>
      <w:r w:rsidRPr="000B6220">
        <w:t xml:space="preserve">, </w:t>
      </w:r>
      <w:r w:rsidR="00742913">
        <w:tab/>
      </w:r>
      <w:r w:rsidRPr="000B6220" w:rsidR="006A0113">
        <w:rPr>
          <w:i/>
        </w:rPr>
        <w:t>conseil</w:t>
      </w:r>
      <w:r w:rsidR="0005783A">
        <w:rPr>
          <w:i/>
        </w:rPr>
        <w:t>s</w:t>
      </w:r>
      <w:r w:rsidRPr="000B6220" w:rsidR="006A0113">
        <w:t>,</w:t>
      </w:r>
      <w:r w:rsidRPr="000B6220" w:rsidR="006A0113">
        <w:br/>
      </w:r>
      <w:r w:rsidRPr="000B6220">
        <w:tab/>
      </w:r>
      <w:r w:rsidRPr="000B6220" w:rsidR="006A0113">
        <w:t>V.</w:t>
      </w:r>
      <w:r w:rsidRPr="000B6220">
        <w:t xml:space="preserve"> </w:t>
      </w:r>
      <w:r w:rsidRPr="000B6220" w:rsidR="006A0113">
        <w:rPr>
          <w:rStyle w:val="JuNames"/>
        </w:rPr>
        <w:t>Bayatyan</w:t>
      </w:r>
      <w:r w:rsidR="00B13EC1">
        <w:t xml:space="preserve">, </w:t>
      </w:r>
      <w:r w:rsidR="00742913">
        <w:tab/>
      </w:r>
      <w:r w:rsidRPr="000B6220" w:rsidR="006A0113">
        <w:rPr>
          <w:i/>
        </w:rPr>
        <w:t>requérant.</w:t>
      </w:r>
    </w:p>
    <w:p w:rsidR="00810190" w:rsidP="00E05F30" w:rsidRDefault="00810190">
      <w:pPr>
        <w:pStyle w:val="JuPara"/>
      </w:pPr>
    </w:p>
    <w:p w:rsidRPr="000B6220" w:rsidR="006C5B9E" w:rsidP="00E05F30" w:rsidRDefault="006C5B9E">
      <w:pPr>
        <w:pStyle w:val="JuPara"/>
      </w:pPr>
      <w:r w:rsidRPr="000B6220">
        <w:t xml:space="preserve">La Cour </w:t>
      </w:r>
      <w:r w:rsidRPr="000B6220" w:rsidR="006A0113">
        <w:t xml:space="preserve">a entendu </w:t>
      </w:r>
      <w:r w:rsidRPr="000B6220">
        <w:t xml:space="preserve">M. </w:t>
      </w:r>
      <w:r w:rsidRPr="000B6220" w:rsidR="006A0113">
        <w:t xml:space="preserve">Carbonneau, </w:t>
      </w:r>
      <w:r w:rsidRPr="000B6220" w:rsidR="00C4031A">
        <w:t>M</w:t>
      </w:r>
      <w:r w:rsidR="00C4031A">
        <w:t xml:space="preserve">. </w:t>
      </w:r>
      <w:r w:rsidRPr="000B6220" w:rsidR="006A0113">
        <w:t xml:space="preserve">Muzny et </w:t>
      </w:r>
      <w:r w:rsidRPr="000B6220" w:rsidR="00C4031A">
        <w:t>M</w:t>
      </w:r>
      <w:r w:rsidR="00C4031A">
        <w:t xml:space="preserve">. </w:t>
      </w:r>
      <w:r w:rsidRPr="000B6220" w:rsidR="006A0113">
        <w:t>Kostanyan</w:t>
      </w:r>
      <w:r w:rsidRPr="00751E27" w:rsidR="00751E27">
        <w:t xml:space="preserve"> </w:t>
      </w:r>
      <w:r w:rsidRPr="000B6220" w:rsidR="00751E27">
        <w:t>en leurs déclarations</w:t>
      </w:r>
      <w:r w:rsidRPr="000B6220" w:rsidR="006A0113">
        <w:t xml:space="preserve"> ainsi qu</w:t>
      </w:r>
      <w:r w:rsidR="002257E9">
        <w:t>’</w:t>
      </w:r>
      <w:r w:rsidRPr="000B6220" w:rsidR="006A0113">
        <w:t>en leurs réponses aux questions posées par les juges.</w:t>
      </w:r>
    </w:p>
    <w:p w:rsidRPr="000B6220" w:rsidR="006C5B9E" w:rsidP="00E05F30" w:rsidRDefault="006C5B9E">
      <w:pPr>
        <w:pStyle w:val="JuHHead"/>
      </w:pPr>
      <w:r w:rsidRPr="000B6220">
        <w:t>EN FAIT</w:t>
      </w:r>
    </w:p>
    <w:p w:rsidRPr="000B6220" w:rsidR="006C5B9E" w:rsidP="00E05F30" w:rsidRDefault="006C5B9E">
      <w:pPr>
        <w:pStyle w:val="JuHIRoman"/>
        <w:outlineLvl w:val="0"/>
      </w:pPr>
      <w:r w:rsidRPr="000B6220">
        <w:t>I.  LES CIRCONSTANCES DE L</w:t>
      </w:r>
      <w:r w:rsidR="002257E9">
        <w:t>’</w:t>
      </w:r>
      <w:r w:rsidRPr="000B6220">
        <w:t>ESPÈCE</w:t>
      </w:r>
    </w:p>
    <w:p w:rsidRPr="000B6220" w:rsidR="006C5B9E" w:rsidP="00E05F30" w:rsidRDefault="00BB71B1">
      <w:pPr>
        <w:pStyle w:val="JuPara"/>
        <w:keepNext/>
        <w:keepLines/>
      </w:pPr>
      <w:r w:rsidRPr="000B6220">
        <w:fldChar w:fldCharType="begin"/>
      </w:r>
      <w:r w:rsidRPr="000B6220">
        <w:instrText xml:space="preserve"> SEQ level0 \*arabic </w:instrText>
      </w:r>
      <w:r w:rsidRPr="000B6220">
        <w:fldChar w:fldCharType="separate"/>
      </w:r>
      <w:r w:rsidR="00226498">
        <w:rPr>
          <w:noProof/>
        </w:rPr>
        <w:t>9</w:t>
      </w:r>
      <w:r w:rsidRPr="000B6220">
        <w:fldChar w:fldCharType="end"/>
      </w:r>
      <w:r w:rsidRPr="000B6220" w:rsidR="006C5B9E">
        <w:t>.  </w:t>
      </w:r>
      <w:r w:rsidRPr="000B6220">
        <w:t>Le requéra</w:t>
      </w:r>
      <w:r w:rsidRPr="000B6220" w:rsidR="006A0113">
        <w:t>nt est né en 1983 et réside à E</w:t>
      </w:r>
      <w:r w:rsidRPr="000B6220">
        <w:t>revan.</w:t>
      </w:r>
    </w:p>
    <w:p w:rsidRPr="000B6220" w:rsidR="006C5B9E" w:rsidP="00E05F30" w:rsidRDefault="006C5B9E">
      <w:pPr>
        <w:pStyle w:val="JuHA"/>
        <w:outlineLvl w:val="0"/>
      </w:pPr>
      <w:r w:rsidRPr="000B6220">
        <w:t>A.  </w:t>
      </w:r>
      <w:r w:rsidRPr="000B6220" w:rsidR="006A0113">
        <w:t>Le contexte de l</w:t>
      </w:r>
      <w:r w:rsidR="002257E9">
        <w:t>’</w:t>
      </w:r>
      <w:r w:rsidRPr="000B6220" w:rsidR="006A0113">
        <w:t>affaire</w:t>
      </w:r>
    </w:p>
    <w:p w:rsidRPr="000B6220" w:rsidR="00F27F95" w:rsidP="00E05F30" w:rsidRDefault="00F27F95">
      <w:pPr>
        <w:pStyle w:val="JuPara"/>
      </w:pPr>
      <w:r w:rsidRPr="00447F9E">
        <w:fldChar w:fldCharType="begin"/>
      </w:r>
      <w:r w:rsidRPr="00447F9E">
        <w:instrText xml:space="preserve"> SEQ level0 \*arabic </w:instrText>
      </w:r>
      <w:r w:rsidRPr="00447F9E">
        <w:fldChar w:fldCharType="separate"/>
      </w:r>
      <w:r w:rsidR="00226498">
        <w:rPr>
          <w:noProof/>
        </w:rPr>
        <w:t>10</w:t>
      </w:r>
      <w:r w:rsidRPr="00447F9E">
        <w:fldChar w:fldCharType="end"/>
      </w:r>
      <w:r w:rsidRPr="00447F9E">
        <w:t>.  Le requérant est témoin de Jéhovah. Il assista à partir de 1997 à</w:t>
      </w:r>
      <w:r w:rsidRPr="000B6220">
        <w:t xml:space="preserve"> divers services religieux organisés par les témoins </w:t>
      </w:r>
      <w:r w:rsidR="00C27424">
        <w:t xml:space="preserve">de Jéhovah et fut baptisé le 18 </w:t>
      </w:r>
      <w:r w:rsidRPr="000B6220">
        <w:t>septembre 1999, à l</w:t>
      </w:r>
      <w:r w:rsidR="002257E9">
        <w:t>’</w:t>
      </w:r>
      <w:r w:rsidRPr="000B6220">
        <w:t>âge de 16 ans.</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11</w:t>
      </w:r>
      <w:r w:rsidRPr="000B6220">
        <w:fldChar w:fldCharType="end"/>
      </w:r>
      <w:r w:rsidRPr="000B6220">
        <w:t xml:space="preserve">.  Le 16 janvier 2000, il fut inscrit </w:t>
      </w:r>
      <w:r w:rsidR="00447F9E">
        <w:t>sur les listes de recensement</w:t>
      </w:r>
      <w:r w:rsidRPr="000B6220">
        <w:t xml:space="preserve"> tenu</w:t>
      </w:r>
      <w:r w:rsidR="00447F9E">
        <w:t>es</w:t>
      </w:r>
      <w:r w:rsidRPr="000B6220">
        <w:t xml:space="preserve"> par le commissariat militaire du district d</w:t>
      </w:r>
      <w:r w:rsidR="002257E9">
        <w:t>’</w:t>
      </w:r>
      <w:r w:rsidRPr="000B6220">
        <w:t xml:space="preserve">Erebuni </w:t>
      </w:r>
      <w:r w:rsidRPr="00810190">
        <w:rPr>
          <w:szCs w:val="24"/>
        </w:rPr>
        <w:t>(</w:t>
      </w:r>
      <w:r w:rsidRPr="00810190">
        <w:rPr>
          <w:rFonts w:ascii="Sylfaen" w:hAnsi="Sylfaen" w:cs="Sylfaen"/>
          <w:i/>
          <w:szCs w:val="24"/>
        </w:rPr>
        <w:t>Էրեբունի համայնքի զինվորական կոմիսարիատ</w:t>
      </w:r>
      <w:r w:rsidRPr="00810190">
        <w:rPr>
          <w:szCs w:val="24"/>
        </w:rPr>
        <w:t>)</w:t>
      </w:r>
      <w:r w:rsidRPr="000B6220">
        <w:t>.</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12</w:t>
      </w:r>
      <w:r w:rsidRPr="000B6220">
        <w:fldChar w:fldCharType="end"/>
      </w:r>
      <w:r w:rsidRPr="000B6220">
        <w:t>.  Le 16 janvier 2001, le requérant, qui était alors âgé de 17 ans, fut convoqué à un examen médical à l</w:t>
      </w:r>
      <w:r w:rsidR="002257E9">
        <w:t>’</w:t>
      </w:r>
      <w:r w:rsidRPr="000B6220">
        <w:t>issue duquel il fut déclaré apte au service militaire. Il devait être appelé sous les drapeau</w:t>
      </w:r>
      <w:r w:rsidR="00447F9E">
        <w:t>x au printemps 2001 (avril</w:t>
      </w:r>
      <w:r w:rsidR="00447F9E">
        <w:noBreakHyphen/>
      </w:r>
      <w:r w:rsidRPr="000B6220">
        <w:t>juin).</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13</w:t>
      </w:r>
      <w:r w:rsidRPr="000B6220">
        <w:fldChar w:fldCharType="end"/>
      </w:r>
      <w:r w:rsidRPr="000B6220">
        <w:t>.  Le 1</w:t>
      </w:r>
      <w:r w:rsidRPr="000B6220">
        <w:rPr>
          <w:vertAlign w:val="superscript"/>
        </w:rPr>
        <w:t>er</w:t>
      </w:r>
      <w:r w:rsidRPr="000B6220">
        <w:t xml:space="preserve"> avril 2001, au début de la période d</w:t>
      </w:r>
      <w:r w:rsidR="002257E9">
        <w:t>’</w:t>
      </w:r>
      <w:r w:rsidRPr="000B6220">
        <w:t>incorporation, le requérant adressa la même lettre au procureur général d</w:t>
      </w:r>
      <w:r w:rsidR="002257E9">
        <w:t>’</w:t>
      </w:r>
      <w:r w:rsidRPr="000B6220">
        <w:t xml:space="preserve">Arménie </w:t>
      </w:r>
      <w:r w:rsidRPr="00810190">
        <w:rPr>
          <w:szCs w:val="24"/>
        </w:rPr>
        <w:t>(</w:t>
      </w:r>
      <w:r w:rsidRPr="00810190">
        <w:rPr>
          <w:rFonts w:ascii="Sylfaen" w:hAnsi="Sylfaen" w:cs="Sylfaen"/>
          <w:i/>
          <w:szCs w:val="24"/>
        </w:rPr>
        <w:t>ՀՀ գլխավոր դատախազ</w:t>
      </w:r>
      <w:r w:rsidRPr="00810190">
        <w:rPr>
          <w:szCs w:val="24"/>
        </w:rPr>
        <w:t>)</w:t>
      </w:r>
      <w:r w:rsidRPr="000B6220">
        <w:t>, au commissaire militaire d</w:t>
      </w:r>
      <w:r w:rsidR="002257E9">
        <w:t>’</w:t>
      </w:r>
      <w:r w:rsidRPr="000B6220">
        <w:t xml:space="preserve">Arménie </w:t>
      </w:r>
      <w:r w:rsidRPr="00810190">
        <w:rPr>
          <w:szCs w:val="24"/>
        </w:rPr>
        <w:t>(</w:t>
      </w:r>
      <w:r w:rsidRPr="00810190">
        <w:rPr>
          <w:rFonts w:ascii="Sylfaen" w:hAnsi="Sylfaen" w:cs="Sylfaen"/>
          <w:i/>
          <w:szCs w:val="24"/>
        </w:rPr>
        <w:t>ՀՀ պաշտպանության նախարարության հանրապետական զինկոմիսար</w:t>
      </w:r>
      <w:r w:rsidRPr="00810190">
        <w:rPr>
          <w:szCs w:val="24"/>
        </w:rPr>
        <w:t>) et à la commission des droits de l</w:t>
      </w:r>
      <w:r w:rsidR="002257E9">
        <w:rPr>
          <w:szCs w:val="24"/>
        </w:rPr>
        <w:t>’</w:t>
      </w:r>
      <w:r w:rsidRPr="00810190">
        <w:rPr>
          <w:szCs w:val="24"/>
        </w:rPr>
        <w:t>homme de l</w:t>
      </w:r>
      <w:r w:rsidR="002257E9">
        <w:rPr>
          <w:szCs w:val="24"/>
        </w:rPr>
        <w:t>’</w:t>
      </w:r>
      <w:r w:rsidRPr="00810190">
        <w:rPr>
          <w:szCs w:val="24"/>
        </w:rPr>
        <w:t>Assemblée nationale (</w:t>
      </w:r>
      <w:r w:rsidRPr="00810190">
        <w:rPr>
          <w:rFonts w:ascii="Sylfaen" w:hAnsi="Sylfaen" w:cs="Sylfaen"/>
          <w:i/>
          <w:szCs w:val="24"/>
        </w:rPr>
        <w:t>ՀՀ ազգային ժողովին առընթեր մարդու իրավունքների հանձնաժողով</w:t>
      </w:r>
      <w:r w:rsidRPr="00810190">
        <w:rPr>
          <w:szCs w:val="24"/>
        </w:rPr>
        <w:t>)</w:t>
      </w:r>
      <w:r w:rsidRPr="000B6220">
        <w:t>, dans laquelle il déclarait :</w:t>
      </w:r>
    </w:p>
    <w:p w:rsidRPr="000B6220" w:rsidR="00F27F95" w:rsidP="00E05F30" w:rsidRDefault="00F27F95">
      <w:pPr>
        <w:pStyle w:val="JuQuot"/>
      </w:pPr>
      <w:r w:rsidRPr="000B6220">
        <w:t>« Je soussigné, Vahan Bayatyan, né en 1983, vous informe que j</w:t>
      </w:r>
      <w:r w:rsidR="002257E9">
        <w:t>’</w:t>
      </w:r>
      <w:r w:rsidRPr="000B6220">
        <w:t xml:space="preserve">étudie la Bible depuis 1996 et </w:t>
      </w:r>
      <w:r w:rsidR="00447F9E">
        <w:t>forme ma conscience d</w:t>
      </w:r>
      <w:r w:rsidR="002257E9">
        <w:t>’</w:t>
      </w:r>
      <w:r w:rsidR="00447F9E">
        <w:t xml:space="preserve">après </w:t>
      </w:r>
      <w:r w:rsidRPr="000B6220">
        <w:t xml:space="preserve">la Bible, </w:t>
      </w:r>
      <w:r w:rsidR="00447F9E">
        <w:t>suivant les</w:t>
      </w:r>
      <w:r w:rsidRPr="000B6220">
        <w:t xml:space="preserve"> paroles d</w:t>
      </w:r>
      <w:r w:rsidR="002257E9">
        <w:t>’</w:t>
      </w:r>
      <w:r w:rsidRPr="000B6220">
        <w:t xml:space="preserve">Isaïe 2:4, et </w:t>
      </w:r>
      <w:r w:rsidRPr="000B6220" w:rsidR="00321852">
        <w:t xml:space="preserve">que je </w:t>
      </w:r>
      <w:r w:rsidRPr="000B6220">
        <w:t>refuse sciemment d</w:t>
      </w:r>
      <w:r w:rsidR="002257E9">
        <w:t>’</w:t>
      </w:r>
      <w:r w:rsidRPr="000B6220">
        <w:t>effectuer mon service militaire. Je vous informe également que je suis prêt à effectuer un service civil de remplacement au lieu du service militaire. »</w:t>
      </w:r>
    </w:p>
    <w:p w:rsidR="00732252" w:rsidP="00732252" w:rsidRDefault="00F27F95">
      <w:pPr>
        <w:pStyle w:val="JuPara"/>
      </w:pPr>
      <w:r w:rsidRPr="000B6220">
        <w:fldChar w:fldCharType="begin"/>
      </w:r>
      <w:r w:rsidRPr="000B6220">
        <w:instrText xml:space="preserve"> SEQ level0 \*arabic </w:instrText>
      </w:r>
      <w:r w:rsidRPr="000B6220">
        <w:fldChar w:fldCharType="separate"/>
      </w:r>
      <w:r w:rsidR="00226498">
        <w:rPr>
          <w:noProof/>
        </w:rPr>
        <w:t>14</w:t>
      </w:r>
      <w:r w:rsidRPr="000B6220">
        <w:fldChar w:fldCharType="end"/>
      </w:r>
      <w:r w:rsidRPr="000B6220">
        <w:t xml:space="preserve">.  Début mai, une convocation </w:t>
      </w:r>
      <w:r w:rsidR="00263D38">
        <w:t xml:space="preserve">par laquelle le requérant était invité </w:t>
      </w:r>
      <w:r w:rsidRPr="000B6220">
        <w:t xml:space="preserve">à se présenter </w:t>
      </w:r>
      <w:r w:rsidR="00567CBB">
        <w:t>au</w:t>
      </w:r>
      <w:r w:rsidRPr="000B6220">
        <w:t xml:space="preserve"> service militaire le 15 mai 2001 </w:t>
      </w:r>
      <w:r w:rsidR="00567CBB">
        <w:t>parvint à son</w:t>
      </w:r>
      <w:r w:rsidRPr="000B6220">
        <w:t xml:space="preserve"> domicile. Le 14</w:t>
      </w:r>
      <w:r w:rsidR="002B5A41">
        <w:t> </w:t>
      </w:r>
      <w:r w:rsidRPr="000B6220">
        <w:t xml:space="preserve">mai 2001, un </w:t>
      </w:r>
      <w:r w:rsidRPr="000B6220" w:rsidR="00321852">
        <w:t>membre</w:t>
      </w:r>
      <w:r w:rsidRPr="000B6220">
        <w:t xml:space="preserve"> du commissariat militaire d</w:t>
      </w:r>
      <w:r w:rsidR="002257E9">
        <w:t>’</w:t>
      </w:r>
      <w:r w:rsidRPr="000B6220">
        <w:t>Erebuni téléphona chez le requérant. Il demanda à la mère de l</w:t>
      </w:r>
      <w:r w:rsidR="002257E9">
        <w:t>’</w:t>
      </w:r>
      <w:r w:rsidRPr="000B6220">
        <w:t>intéressé si celui-ci savait qu</w:t>
      </w:r>
      <w:r w:rsidR="002257E9">
        <w:t>’</w:t>
      </w:r>
      <w:r w:rsidRPr="000B6220">
        <w:t>il avait été convoqué le lendemain au commissariat pour commencer son service militaire. Le soir même, le requérant déménagea temporairement car il craignait d</w:t>
      </w:r>
      <w:r w:rsidR="002257E9">
        <w:t>’</w:t>
      </w:r>
      <w:r w:rsidRPr="000B6220">
        <w:t>être enrôlé de force.</w:t>
      </w:r>
    </w:p>
    <w:p w:rsidRPr="000B6220" w:rsidR="00F27F95" w:rsidP="00732252" w:rsidRDefault="00F27F95">
      <w:pPr>
        <w:pStyle w:val="JuPara"/>
      </w:pPr>
      <w:r w:rsidRPr="000B6220">
        <w:fldChar w:fldCharType="begin"/>
      </w:r>
      <w:r w:rsidRPr="000B6220">
        <w:instrText xml:space="preserve"> SEQ level0 \*arabic </w:instrText>
      </w:r>
      <w:r w:rsidRPr="000B6220">
        <w:fldChar w:fldCharType="separate"/>
      </w:r>
      <w:r w:rsidR="00226498">
        <w:rPr>
          <w:noProof/>
        </w:rPr>
        <w:t>15</w:t>
      </w:r>
      <w:r w:rsidRPr="000B6220">
        <w:fldChar w:fldCharType="end"/>
      </w:r>
      <w:r w:rsidRPr="000B6220">
        <w:t xml:space="preserve">.  Les 15 et 16 mai 2001, des </w:t>
      </w:r>
      <w:r w:rsidRPr="000B6220" w:rsidR="008560AF">
        <w:t>militaires</w:t>
      </w:r>
      <w:r w:rsidRPr="000B6220">
        <w:t xml:space="preserve"> du commissariat téléphonèrent à la mère du requérant pour exiger qu</w:t>
      </w:r>
      <w:r w:rsidR="002257E9">
        <w:t>’</w:t>
      </w:r>
      <w:r w:rsidRPr="000B6220">
        <w:t>elle leur dise où celui-ci se trouvait. Ils menacèrent d</w:t>
      </w:r>
      <w:r w:rsidR="002257E9">
        <w:t>’</w:t>
      </w:r>
      <w:r w:rsidRPr="000B6220">
        <w:t>emmener le requérant de force au commissariat s</w:t>
      </w:r>
      <w:r w:rsidR="002257E9">
        <w:t>’</w:t>
      </w:r>
      <w:r w:rsidRPr="000B6220">
        <w:t>il ne s</w:t>
      </w:r>
      <w:r w:rsidR="002257E9">
        <w:t>’</w:t>
      </w:r>
      <w:r w:rsidRPr="000B6220">
        <w:t xml:space="preserve">y rendait pas de son propre gré. Le 17 mai 2001 au petit matin, les </w:t>
      </w:r>
      <w:r w:rsidRPr="000B6220" w:rsidR="008560AF">
        <w:t>militaires</w:t>
      </w:r>
      <w:r w:rsidRPr="000B6220" w:rsidR="00321852">
        <w:t xml:space="preserve"> du commissariat</w:t>
      </w:r>
      <w:r w:rsidRPr="000B6220">
        <w:t xml:space="preserve"> se rendirent au domicile du requérant. Ses parents n</w:t>
      </w:r>
      <w:r w:rsidR="002257E9">
        <w:t>’</w:t>
      </w:r>
      <w:r w:rsidRPr="000B6220">
        <w:t>ouvrirent pas la porte car ils dormaient. Dans la journée, la mère du requérant alla au commissariat : elle déclara que son fils avait quitté la maison et qu</w:t>
      </w:r>
      <w:r w:rsidR="002257E9">
        <w:t>’</w:t>
      </w:r>
      <w:r w:rsidRPr="000B6220">
        <w:t xml:space="preserve">elle ne savait pas quand il reviendrait. </w:t>
      </w:r>
      <w:r w:rsidRPr="000B6220" w:rsidR="00321852">
        <w:t>D</w:t>
      </w:r>
      <w:r w:rsidR="002257E9">
        <w:t>’</w:t>
      </w:r>
      <w:r w:rsidRPr="000B6220" w:rsidR="00321852">
        <w:t xml:space="preserve">après le requérant, </w:t>
      </w:r>
      <w:r w:rsidRPr="000B6220">
        <w:t xml:space="preserve">le commissariat </w:t>
      </w:r>
      <w:r w:rsidRPr="000B6220" w:rsidR="00321852">
        <w:t>n</w:t>
      </w:r>
      <w:r w:rsidR="002257E9">
        <w:t>’</w:t>
      </w:r>
      <w:r w:rsidRPr="000B6220" w:rsidR="00321852">
        <w:t>a ensuite plus</w:t>
      </w:r>
      <w:r w:rsidRPr="000B6220">
        <w:t xml:space="preserve"> cherch</w:t>
      </w:r>
      <w:r w:rsidRPr="000B6220" w:rsidR="00321852">
        <w:t>é</w:t>
      </w:r>
      <w:r w:rsidRPr="000B6220">
        <w:t xml:space="preserve"> à entrer en contact avec sa famille.</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16</w:t>
      </w:r>
      <w:r w:rsidRPr="000B6220">
        <w:fldChar w:fldCharType="end"/>
      </w:r>
      <w:r w:rsidRPr="000B6220">
        <w:t>.  Le 29 mai 2001, la commission des affaires d</w:t>
      </w:r>
      <w:r w:rsidR="002257E9">
        <w:t>’</w:t>
      </w:r>
      <w:r w:rsidRPr="000B6220">
        <w:t xml:space="preserve">Etat et juridiques </w:t>
      </w:r>
      <w:r w:rsidRPr="000B6220" w:rsidR="00752C04">
        <w:t>de l</w:t>
      </w:r>
      <w:r w:rsidR="002257E9">
        <w:t>’</w:t>
      </w:r>
      <w:r w:rsidRPr="000B6220" w:rsidR="00752C04">
        <w:t xml:space="preserve">Assemblée nationale </w:t>
      </w:r>
      <w:r w:rsidRPr="00810190">
        <w:rPr>
          <w:szCs w:val="24"/>
        </w:rPr>
        <w:t>(</w:t>
      </w:r>
      <w:r w:rsidRPr="00810190">
        <w:rPr>
          <w:rFonts w:ascii="Sylfaen" w:hAnsi="Sylfaen" w:cs="Sylfaen"/>
          <w:i/>
          <w:szCs w:val="24"/>
        </w:rPr>
        <w:t>ՀՀ ազգային ժողովի պետական-իրավական հարցերի հանձնաժողով</w:t>
      </w:r>
      <w:r w:rsidRPr="00810190">
        <w:rPr>
          <w:szCs w:val="24"/>
        </w:rPr>
        <w:t xml:space="preserve">) </w:t>
      </w:r>
      <w:r w:rsidRPr="000B6220">
        <w:t>répondit à la lettre du requérant datée du 1</w:t>
      </w:r>
      <w:r w:rsidRPr="000B6220">
        <w:rPr>
          <w:vertAlign w:val="superscript"/>
        </w:rPr>
        <w:t>er</w:t>
      </w:r>
      <w:r w:rsidRPr="000B6220" w:rsidR="008560AF">
        <w:t> </w:t>
      </w:r>
      <w:r w:rsidRPr="000B6220">
        <w:t>avril 2001 en ces termes :</w:t>
      </w:r>
    </w:p>
    <w:p w:rsidRPr="000B6220" w:rsidR="00F27F95" w:rsidP="00E05F30" w:rsidRDefault="00F27F95">
      <w:pPr>
        <w:pStyle w:val="JuQuot"/>
      </w:pPr>
      <w:r w:rsidRPr="000B6220">
        <w:t>« A la suite de votre déclaration (</w:t>
      </w:r>
      <w:r w:rsidR="00E40C8E">
        <w:t>...</w:t>
      </w:r>
      <w:r w:rsidRPr="000B6220">
        <w:t>) nous vous informons que, conformément à la législation de la République d</w:t>
      </w:r>
      <w:r w:rsidR="002257E9">
        <w:t>’</w:t>
      </w:r>
      <w:r w:rsidRPr="000B6220">
        <w:t>Arménie, tout citoyen (</w:t>
      </w:r>
      <w:r w:rsidR="00E40C8E">
        <w:t>...</w:t>
      </w:r>
      <w:r w:rsidRPr="000B6220">
        <w:t>) est dans l</w:t>
      </w:r>
      <w:r w:rsidR="002257E9">
        <w:t>’</w:t>
      </w:r>
      <w:r w:rsidRPr="000B6220">
        <w:t>obligation de servir dans l</w:t>
      </w:r>
      <w:r w:rsidR="002257E9">
        <w:t>’</w:t>
      </w:r>
      <w:r w:rsidRPr="000B6220">
        <w:t>armée arménienne. Etant donné qu</w:t>
      </w:r>
      <w:r w:rsidR="002257E9">
        <w:t>’</w:t>
      </w:r>
      <w:r w:rsidRPr="000B6220">
        <w:t xml:space="preserve">aucune loi </w:t>
      </w:r>
      <w:r w:rsidR="005640D3">
        <w:t>instituant</w:t>
      </w:r>
      <w:r w:rsidRPr="000B6220">
        <w:t xml:space="preserve"> un service de remplacement n</w:t>
      </w:r>
      <w:r w:rsidR="002257E9">
        <w:t>’</w:t>
      </w:r>
      <w:r w:rsidRPr="000B6220">
        <w:t>a encore été adoptée en Arménie, vous devez vous conformer à la loi en vigueur et servir dans l</w:t>
      </w:r>
      <w:r w:rsidR="002257E9">
        <w:t>’</w:t>
      </w:r>
      <w:r w:rsidRPr="000B6220">
        <w:t>armée arménienne. »</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17</w:t>
      </w:r>
      <w:r w:rsidRPr="000B6220">
        <w:fldChar w:fldCharType="end"/>
      </w:r>
      <w:r w:rsidRPr="000B6220">
        <w:t xml:space="preserve">.  Au cours de la première quinzaine de juin 2001, le requérant </w:t>
      </w:r>
      <w:r w:rsidRPr="000B6220" w:rsidR="00321852">
        <w:t>rentra</w:t>
      </w:r>
      <w:r w:rsidRPr="000B6220">
        <w:t xml:space="preserve"> chez lui, où il vécut jusqu</w:t>
      </w:r>
      <w:r w:rsidR="002257E9">
        <w:t>’</w:t>
      </w:r>
      <w:r w:rsidRPr="000B6220">
        <w:t>à son arrestation en septembre 2002.</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18</w:t>
      </w:r>
      <w:r w:rsidRPr="000B6220">
        <w:fldChar w:fldCharType="end"/>
      </w:r>
      <w:r w:rsidRPr="000B6220">
        <w:t xml:space="preserve">.  Le 12 juin 2001, </w:t>
      </w:r>
      <w:r w:rsidRPr="000B6220" w:rsidR="00752C04">
        <w:t>l</w:t>
      </w:r>
      <w:r w:rsidR="002257E9">
        <w:t>’</w:t>
      </w:r>
      <w:r w:rsidRPr="000B6220" w:rsidR="00752C04">
        <w:t xml:space="preserve">Assemblée nationale </w:t>
      </w:r>
      <w:r w:rsidR="005640D3">
        <w:t>déclara</w:t>
      </w:r>
      <w:r w:rsidRPr="000B6220">
        <w:t xml:space="preserve"> une amnistie générale </w:t>
      </w:r>
      <w:r w:rsidRPr="000B6220" w:rsidR="00321852">
        <w:t xml:space="preserve">qui </w:t>
      </w:r>
      <w:r w:rsidRPr="000B6220">
        <w:t>ne s</w:t>
      </w:r>
      <w:r w:rsidR="002257E9">
        <w:t>’</w:t>
      </w:r>
      <w:r w:rsidRPr="000B6220">
        <w:t>appliqua</w:t>
      </w:r>
      <w:r w:rsidRPr="000B6220" w:rsidR="00321852">
        <w:t>i</w:t>
      </w:r>
      <w:r w:rsidRPr="000B6220">
        <w:t>t qu</w:t>
      </w:r>
      <w:r w:rsidR="002257E9">
        <w:t>’</w:t>
      </w:r>
      <w:r w:rsidRPr="000B6220">
        <w:t>aux personnes ayant commis des infractions avant le 11 juin 2001 et devait rester en vigueur jusqu</w:t>
      </w:r>
      <w:r w:rsidR="002257E9">
        <w:t>’</w:t>
      </w:r>
      <w:r w:rsidR="00C27424">
        <w:t xml:space="preserve">au 13 septembre </w:t>
      </w:r>
      <w:r w:rsidRPr="000B6220">
        <w:t>2001.</w:t>
      </w:r>
    </w:p>
    <w:p w:rsidRPr="000B6220" w:rsidR="00F27F95" w:rsidP="00E05F30" w:rsidRDefault="002A3B1B">
      <w:pPr>
        <w:pStyle w:val="JuHA"/>
      </w:pPr>
      <w:r>
        <w:t>B.  La p</w:t>
      </w:r>
      <w:r w:rsidRPr="000B6220" w:rsidR="00F27F95">
        <w:t>rocédure pénale dirigée contre le requérant</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19</w:t>
      </w:r>
      <w:r w:rsidRPr="000B6220">
        <w:fldChar w:fldCharType="end"/>
      </w:r>
      <w:r w:rsidRPr="000B6220">
        <w:t>.  Le 26 juin 2001, le commissaire militaire d</w:t>
      </w:r>
      <w:r w:rsidR="002257E9">
        <w:t>’</w:t>
      </w:r>
      <w:r w:rsidRPr="000B6220">
        <w:t xml:space="preserve">Erebuni </w:t>
      </w:r>
      <w:r w:rsidRPr="00810190">
        <w:rPr>
          <w:szCs w:val="24"/>
        </w:rPr>
        <w:t>(</w:t>
      </w:r>
      <w:r w:rsidRPr="00810190">
        <w:rPr>
          <w:rFonts w:ascii="Sylfaen" w:hAnsi="Sylfaen" w:cs="Sylfaen"/>
          <w:i/>
          <w:szCs w:val="24"/>
        </w:rPr>
        <w:t>Էրեբունի համայնքի զինկոմիսար</w:t>
      </w:r>
      <w:r w:rsidRPr="00810190">
        <w:rPr>
          <w:szCs w:val="24"/>
        </w:rPr>
        <w:t xml:space="preserve">) </w:t>
      </w:r>
      <w:r w:rsidRPr="000B6220">
        <w:t>informa le procureur du district d</w:t>
      </w:r>
      <w:r w:rsidR="002257E9">
        <w:t>’</w:t>
      </w:r>
      <w:r w:rsidRPr="000B6220">
        <w:t xml:space="preserve">Erebuni </w:t>
      </w:r>
      <w:r w:rsidRPr="00810190">
        <w:rPr>
          <w:szCs w:val="24"/>
        </w:rPr>
        <w:t>(</w:t>
      </w:r>
      <w:r w:rsidRPr="00810190">
        <w:rPr>
          <w:rFonts w:ascii="Sylfaen" w:hAnsi="Sylfaen" w:cs="Sylfaen"/>
          <w:i/>
          <w:szCs w:val="24"/>
        </w:rPr>
        <w:t>Էրեբունի համայնքի դատախազ</w:t>
      </w:r>
      <w:r w:rsidRPr="00810190">
        <w:rPr>
          <w:szCs w:val="24"/>
        </w:rPr>
        <w:t xml:space="preserve">) </w:t>
      </w:r>
      <w:r w:rsidRPr="000B6220">
        <w:t>que le requérant ne s</w:t>
      </w:r>
      <w:r w:rsidR="002257E9">
        <w:t>’</w:t>
      </w:r>
      <w:r w:rsidR="00C27424">
        <w:t xml:space="preserve">était pas présenté le 15 </w:t>
      </w:r>
      <w:r w:rsidRPr="000B6220">
        <w:t>mai 2001 pour effectuer son service militaire et qu</w:t>
      </w:r>
      <w:r w:rsidR="002257E9">
        <w:t>’</w:t>
      </w:r>
      <w:r w:rsidRPr="000B6220">
        <w:t>il se soustrayait volontairement à ses obligations militaires.</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20</w:t>
      </w:r>
      <w:r w:rsidRPr="000B6220">
        <w:fldChar w:fldCharType="end"/>
      </w:r>
      <w:r w:rsidRPr="000B6220">
        <w:t>.  </w:t>
      </w:r>
      <w:r w:rsidRPr="000B6220" w:rsidR="005253A7">
        <w:t>L</w:t>
      </w:r>
      <w:r w:rsidRPr="000B6220">
        <w:t xml:space="preserve">e requérant se rendit avec son père et son avocat au parquet de district </w:t>
      </w:r>
      <w:r w:rsidRPr="000B6220" w:rsidR="005253A7">
        <w:t>à plusieurs reprises au cours du mois de juillet</w:t>
      </w:r>
      <w:r w:rsidRPr="000B6220" w:rsidR="008560AF">
        <w:t>,</w:t>
      </w:r>
      <w:r w:rsidRPr="000B6220" w:rsidR="005253A7">
        <w:t xml:space="preserve"> ainsi que le 1</w:t>
      </w:r>
      <w:r w:rsidRPr="000B6220" w:rsidR="005253A7">
        <w:rPr>
          <w:vertAlign w:val="superscript"/>
        </w:rPr>
        <w:t>er</w:t>
      </w:r>
      <w:r w:rsidR="00C27424">
        <w:t xml:space="preserve"> août </w:t>
      </w:r>
      <w:r w:rsidRPr="000B6220" w:rsidR="005253A7">
        <w:t xml:space="preserve">2001, </w:t>
      </w:r>
      <w:r w:rsidRPr="000B6220">
        <w:t>pour se renseigner auprès de l</w:t>
      </w:r>
      <w:r w:rsidR="002257E9">
        <w:t>’</w:t>
      </w:r>
      <w:r w:rsidRPr="000B6220">
        <w:t xml:space="preserve">enquêteur compétent sur sa situation et </w:t>
      </w:r>
      <w:r w:rsidR="00813C48">
        <w:t xml:space="preserve">sur </w:t>
      </w:r>
      <w:r w:rsidR="00932044">
        <w:t>la suite de la procédure</w:t>
      </w:r>
      <w:r w:rsidRPr="000B6220">
        <w:t>.</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21</w:t>
      </w:r>
      <w:r w:rsidRPr="000B6220">
        <w:fldChar w:fldCharType="end"/>
      </w:r>
      <w:r w:rsidRPr="000B6220">
        <w:t>.  Le 1</w:t>
      </w:r>
      <w:r w:rsidRPr="000B6220">
        <w:rPr>
          <w:vertAlign w:val="superscript"/>
        </w:rPr>
        <w:t>er</w:t>
      </w:r>
      <w:r w:rsidRPr="000B6220">
        <w:t xml:space="preserve"> août 2001, </w:t>
      </w:r>
      <w:r w:rsidR="00605A93">
        <w:t>se fondant sur</w:t>
      </w:r>
      <w:r w:rsidRPr="000B6220" w:rsidR="00605A93">
        <w:t xml:space="preserve"> l</w:t>
      </w:r>
      <w:r w:rsidR="002257E9">
        <w:t>’</w:t>
      </w:r>
      <w:r w:rsidRPr="000B6220" w:rsidR="00605A93">
        <w:t>article 75 du code pénal</w:t>
      </w:r>
      <w:r w:rsidR="00605A93">
        <w:t>,</w:t>
      </w:r>
      <w:r w:rsidRPr="000B6220" w:rsidR="00605A93">
        <w:t xml:space="preserve"> </w:t>
      </w:r>
      <w:r w:rsidRPr="000B6220">
        <w:t>l</w:t>
      </w:r>
      <w:r w:rsidR="002257E9">
        <w:t>’</w:t>
      </w:r>
      <w:r w:rsidRPr="000B6220">
        <w:t>enquêteur ouvrit une procédure pénale contre le requérant au motif que celui-ci s</w:t>
      </w:r>
      <w:r w:rsidR="002257E9">
        <w:t>’</w:t>
      </w:r>
      <w:r w:rsidRPr="000B6220">
        <w:t xml:space="preserve">était soustrait à ses obligations militaires. </w:t>
      </w:r>
      <w:r w:rsidR="00605A93">
        <w:t>L</w:t>
      </w:r>
      <w:r w:rsidR="002257E9">
        <w:t>’</w:t>
      </w:r>
      <w:r w:rsidRPr="000B6220">
        <w:t>intéressé</w:t>
      </w:r>
      <w:r w:rsidR="00605A93">
        <w:t xml:space="preserve"> soutient que</w:t>
      </w:r>
      <w:r w:rsidRPr="000B6220">
        <w:t xml:space="preserve"> le </w:t>
      </w:r>
      <w:r w:rsidRPr="000B6220" w:rsidR="008560AF">
        <w:t>supérieur</w:t>
      </w:r>
      <w:r w:rsidRPr="000B6220" w:rsidR="00321852">
        <w:t xml:space="preserve"> de l</w:t>
      </w:r>
      <w:r w:rsidR="002257E9">
        <w:t>’</w:t>
      </w:r>
      <w:r w:rsidRPr="000B6220" w:rsidR="00321852">
        <w:t>enquête</w:t>
      </w:r>
      <w:r w:rsidRPr="000B6220" w:rsidR="008560AF">
        <w:t>ur</w:t>
      </w:r>
      <w:r w:rsidRPr="000B6220" w:rsidR="00321852">
        <w:t xml:space="preserve">, à savoir le </w:t>
      </w:r>
      <w:r w:rsidRPr="000B6220">
        <w:t>procureur</w:t>
      </w:r>
      <w:r w:rsidRPr="000B6220" w:rsidR="00321852">
        <w:t>,</w:t>
      </w:r>
      <w:r w:rsidRPr="000B6220">
        <w:t xml:space="preserve"> refusa de l</w:t>
      </w:r>
      <w:r w:rsidR="002257E9">
        <w:t>’</w:t>
      </w:r>
      <w:r w:rsidRPr="000B6220">
        <w:t>inculper tant qu</w:t>
      </w:r>
      <w:r w:rsidR="002257E9">
        <w:t>’</w:t>
      </w:r>
      <w:r w:rsidRPr="000B6220">
        <w:t>un complément d</w:t>
      </w:r>
      <w:r w:rsidR="002257E9">
        <w:t>’</w:t>
      </w:r>
      <w:r w:rsidRPr="000B6220">
        <w:t>enquête n</w:t>
      </w:r>
      <w:r w:rsidR="002257E9">
        <w:t>’</w:t>
      </w:r>
      <w:r w:rsidR="00B93C2B">
        <w:t>aur</w:t>
      </w:r>
      <w:r w:rsidR="00C27424">
        <w:t xml:space="preserve">ait pas été effectué. Le 8 </w:t>
      </w:r>
      <w:r w:rsidRPr="000B6220">
        <w:t xml:space="preserve">août 2001, </w:t>
      </w:r>
      <w:r w:rsidR="00294460">
        <w:t>souhaitan</w:t>
      </w:r>
      <w:r w:rsidRPr="000B6220">
        <w:t xml:space="preserve">t apparemment bénéficier de </w:t>
      </w:r>
      <w:r w:rsidR="00813C48">
        <w:t>l</w:t>
      </w:r>
      <w:r w:rsidR="002257E9">
        <w:t>’</w:t>
      </w:r>
      <w:r w:rsidRPr="000B6220">
        <w:t xml:space="preserve">amnistie précitée, </w:t>
      </w:r>
      <w:r w:rsidRPr="000B6220" w:rsidR="00294460">
        <w:t>le requérant</w:t>
      </w:r>
      <w:r w:rsidR="00294460">
        <w:t xml:space="preserve"> </w:t>
      </w:r>
      <w:r w:rsidRPr="000B6220">
        <w:t xml:space="preserve">adressa une plainte à ce sujet au parquet général </w:t>
      </w:r>
      <w:r w:rsidRPr="00810190">
        <w:rPr>
          <w:szCs w:val="24"/>
        </w:rPr>
        <w:t>(</w:t>
      </w:r>
      <w:r w:rsidRPr="00810190">
        <w:rPr>
          <w:rFonts w:ascii="Sylfaen" w:hAnsi="Sylfaen" w:cs="Sylfaen"/>
          <w:i/>
          <w:szCs w:val="24"/>
        </w:rPr>
        <w:t>ՀՀ գլխավոր դատախազություն</w:t>
      </w:r>
      <w:r w:rsidRPr="00810190">
        <w:rPr>
          <w:szCs w:val="24"/>
        </w:rPr>
        <w:t>).</w:t>
      </w:r>
      <w:r w:rsidRPr="000B6220">
        <w:t xml:space="preserve"> Il ne reçut aucune réponse.</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22</w:t>
      </w:r>
      <w:r w:rsidRPr="000B6220">
        <w:fldChar w:fldCharType="end"/>
      </w:r>
      <w:r w:rsidRPr="000B6220">
        <w:t>.  Le 1</w:t>
      </w:r>
      <w:r w:rsidRPr="000B6220">
        <w:rPr>
          <w:vertAlign w:val="superscript"/>
        </w:rPr>
        <w:t>er</w:t>
      </w:r>
      <w:r w:rsidRPr="000B6220">
        <w:t xml:space="preserve"> octobre 2001, l</w:t>
      </w:r>
      <w:r w:rsidR="002257E9">
        <w:t>’</w:t>
      </w:r>
      <w:r w:rsidRPr="000B6220">
        <w:t xml:space="preserve">enquêteur prit cinq décisions concernant le requérant : 1) </w:t>
      </w:r>
      <w:r w:rsidRPr="000B6220" w:rsidR="00321852">
        <w:t>l</w:t>
      </w:r>
      <w:r w:rsidR="002257E9">
        <w:t>’</w:t>
      </w:r>
      <w:r w:rsidRPr="000B6220">
        <w:t>inculp</w:t>
      </w:r>
      <w:r w:rsidRPr="000B6220" w:rsidR="00321852">
        <w:t xml:space="preserve">er de soustraction à </w:t>
      </w:r>
      <w:r w:rsidRPr="000B6220">
        <w:t>ses obligations militaires</w:t>
      </w:r>
      <w:r w:rsidRPr="000B6220" w:rsidR="00752C04">
        <w:t xml:space="preserve"> au titre de l</w:t>
      </w:r>
      <w:r w:rsidR="002257E9">
        <w:t>’</w:t>
      </w:r>
      <w:r w:rsidRPr="000B6220" w:rsidR="00752C04">
        <w:t>article 75 du code pénal</w:t>
      </w:r>
      <w:r w:rsidRPr="000B6220">
        <w:t> ; 2) demander à la justice l</w:t>
      </w:r>
      <w:r w:rsidR="002257E9">
        <w:t>’</w:t>
      </w:r>
      <w:r w:rsidRPr="000B6220">
        <w:t>autorisation de le placer en détention provisoire ; 3) le déclarer en fuite et lancer des recherches ; 4) demander à la justice l</w:t>
      </w:r>
      <w:r w:rsidR="002257E9">
        <w:t>’</w:t>
      </w:r>
      <w:r w:rsidRPr="000B6220">
        <w:t>autorisation de surveiller sa correspondance ; et 5) suspendre la procédure jusqu</w:t>
      </w:r>
      <w:r w:rsidR="002257E9">
        <w:t>’</w:t>
      </w:r>
      <w:r w:rsidRPr="000B6220">
        <w:t>à ce qu</w:t>
      </w:r>
      <w:r w:rsidR="002257E9">
        <w:t>’</w:t>
      </w:r>
      <w:r w:rsidRPr="000B6220">
        <w:t>on le retrouve. Cette dernière décision comportait le passage suivant :</w:t>
      </w:r>
    </w:p>
    <w:p w:rsidRPr="000B6220" w:rsidR="00F27F95" w:rsidP="00E05F30" w:rsidRDefault="00F27F95">
      <w:pPr>
        <w:pStyle w:val="JuQuot"/>
      </w:pPr>
      <w:r w:rsidRPr="000B6220">
        <w:t>« (</w:t>
      </w:r>
      <w:r w:rsidR="00E40C8E">
        <w:t>...</w:t>
      </w:r>
      <w:r w:rsidRPr="000B6220">
        <w:t>) étant donné que les mesures d</w:t>
      </w:r>
      <w:r w:rsidR="002257E9">
        <w:t>’</w:t>
      </w:r>
      <w:r w:rsidRPr="000B6220">
        <w:t xml:space="preserve">enquête et </w:t>
      </w:r>
      <w:r w:rsidRPr="000B6220" w:rsidR="00752C04">
        <w:t xml:space="preserve">de </w:t>
      </w:r>
      <w:r w:rsidR="00294460">
        <w:t>recherche</w:t>
      </w:r>
      <w:r w:rsidRPr="000B6220">
        <w:t xml:space="preserve"> menées pour retrouver [le requérant] depuis deux mois (</w:t>
      </w:r>
      <w:r w:rsidR="00E40C8E">
        <w:t>...</w:t>
      </w:r>
      <w:r w:rsidRPr="000B6220">
        <w:t>) sont restées vaines et que l</w:t>
      </w:r>
      <w:r w:rsidR="002257E9">
        <w:t>’</w:t>
      </w:r>
      <w:r w:rsidRPr="000B6220">
        <w:t>on ne sait pas où il se trouve (</w:t>
      </w:r>
      <w:r w:rsidR="00E40C8E">
        <w:t>...</w:t>
      </w:r>
      <w:r w:rsidRPr="000B6220">
        <w:t xml:space="preserve">) [il </w:t>
      </w:r>
      <w:r w:rsidR="00294460">
        <w:t>y a lieu</w:t>
      </w:r>
      <w:r w:rsidRPr="000B6220">
        <w:t>] de suspendre l</w:t>
      </w:r>
      <w:r w:rsidR="002257E9">
        <w:t>’</w:t>
      </w:r>
      <w:r w:rsidRPr="000B6220">
        <w:t>enquête (</w:t>
      </w:r>
      <w:r w:rsidR="00E40C8E">
        <w:t>...</w:t>
      </w:r>
      <w:r w:rsidRPr="000B6220">
        <w:t>) et (</w:t>
      </w:r>
      <w:r w:rsidR="00E40C8E">
        <w:t>...</w:t>
      </w:r>
      <w:r w:rsidRPr="000B6220">
        <w:t xml:space="preserve">) de </w:t>
      </w:r>
      <w:r w:rsidRPr="000B6220" w:rsidR="00321852">
        <w:t>relancer l</w:t>
      </w:r>
      <w:r w:rsidRPr="000B6220">
        <w:t xml:space="preserve">es </w:t>
      </w:r>
      <w:r w:rsidRPr="000B6220" w:rsidR="008560AF">
        <w:t xml:space="preserve">mesures de </w:t>
      </w:r>
      <w:r w:rsidR="00294460">
        <w:t>recherche</w:t>
      </w:r>
      <w:r w:rsidRPr="000B6220" w:rsidR="00752C04">
        <w:t xml:space="preserve"> en vue de</w:t>
      </w:r>
      <w:r w:rsidRPr="000B6220">
        <w:t xml:space="preserve"> </w:t>
      </w:r>
      <w:r w:rsidRPr="000B6220" w:rsidR="00752C04">
        <w:t>re</w:t>
      </w:r>
      <w:r w:rsidRPr="000B6220">
        <w:t>trouver l</w:t>
      </w:r>
      <w:r w:rsidR="002257E9">
        <w:t>’</w:t>
      </w:r>
      <w:r w:rsidRPr="000B6220">
        <w:t>accusé. »</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23</w:t>
      </w:r>
      <w:r w:rsidRPr="000B6220">
        <w:fldChar w:fldCharType="end"/>
      </w:r>
      <w:r w:rsidRPr="000B6220">
        <w:t>.  Ces décisions ne furent notifiées ni au requérant ni à sa famille alors que l</w:t>
      </w:r>
      <w:r w:rsidR="002257E9">
        <w:t>’</w:t>
      </w:r>
      <w:r w:rsidRPr="000B6220">
        <w:t xml:space="preserve">intéressé vivait depuis </w:t>
      </w:r>
      <w:r w:rsidRPr="000B6220" w:rsidR="00321852">
        <w:t xml:space="preserve">la </w:t>
      </w:r>
      <w:r w:rsidRPr="000B6220">
        <w:t>mi-juin 2001 au domicile familial et avait rencontré l</w:t>
      </w:r>
      <w:r w:rsidR="002257E9">
        <w:t>’</w:t>
      </w:r>
      <w:r w:rsidRPr="000B6220">
        <w:t>enquêteur à plusieurs reprises en juillet et août 2001.</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24</w:t>
      </w:r>
      <w:r w:rsidRPr="000B6220">
        <w:fldChar w:fldCharType="end"/>
      </w:r>
      <w:r w:rsidRPr="000B6220">
        <w:t>.  Le 2 octobre 2001, le tribunal des districts d</w:t>
      </w:r>
      <w:r w:rsidR="002257E9">
        <w:t>’</w:t>
      </w:r>
      <w:r w:rsidRPr="000B6220">
        <w:t>Erebuni et de Nubarashen d</w:t>
      </w:r>
      <w:r w:rsidR="002257E9">
        <w:t>’</w:t>
      </w:r>
      <w:r w:rsidRPr="000B6220">
        <w:t xml:space="preserve">Erevan </w:t>
      </w:r>
      <w:r w:rsidRPr="00810190">
        <w:rPr>
          <w:szCs w:val="24"/>
        </w:rPr>
        <w:t>(</w:t>
      </w:r>
      <w:r w:rsidRPr="00810190">
        <w:rPr>
          <w:rFonts w:ascii="Sylfaen" w:hAnsi="Sylfaen" w:cs="Sylfaen"/>
          <w:i/>
          <w:szCs w:val="24"/>
        </w:rPr>
        <w:t>Երևան քաղաքի Էրեբունի և Նուբարաշեն համայնքների առաջին ատյանի դատարան</w:t>
      </w:r>
      <w:r w:rsidR="00810190">
        <w:rPr>
          <w:szCs w:val="24"/>
        </w:rPr>
        <w:t xml:space="preserve"> </w:t>
      </w:r>
      <w:r w:rsidRPr="000B6220">
        <w:t>–</w:t>
      </w:r>
      <w:r w:rsidR="00D21B53">
        <w:t xml:space="preserve"> </w:t>
      </w:r>
      <w:r w:rsidRPr="000B6220">
        <w:t>« le tribunal de district ») autorisa la surveillance de la correspondance du requérant et son placement en détention provisoire. Ces décisions ne furent notifiées ni au requérant ni à sa famille ; l</w:t>
      </w:r>
      <w:r w:rsidR="002257E9">
        <w:t>’</w:t>
      </w:r>
      <w:r w:rsidRPr="000B6220">
        <w:t>autorité d</w:t>
      </w:r>
      <w:r w:rsidR="002257E9">
        <w:t>’</w:t>
      </w:r>
      <w:r w:rsidRPr="000B6220">
        <w:t xml:space="preserve">enquête ne fit aucune démarche pour </w:t>
      </w:r>
      <w:r w:rsidR="00294460">
        <w:t xml:space="preserve">prendre </w:t>
      </w:r>
      <w:r w:rsidRPr="000B6220">
        <w:t>contact avec eux avant l</w:t>
      </w:r>
      <w:r w:rsidR="002257E9">
        <w:t>’</w:t>
      </w:r>
      <w:r w:rsidRPr="000B6220">
        <w:t>arrest</w:t>
      </w:r>
      <w:r w:rsidR="002D2A79">
        <w:t>ation du requérant en septembre </w:t>
      </w:r>
      <w:r w:rsidRPr="000B6220">
        <w:t>2002.</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25</w:t>
      </w:r>
      <w:r w:rsidRPr="000B6220">
        <w:fldChar w:fldCharType="end"/>
      </w:r>
      <w:r w:rsidRPr="000B6220">
        <w:t>.  Le 26 avril 2002, la Convention entra en vigueur à l</w:t>
      </w:r>
      <w:r w:rsidR="002257E9">
        <w:t>’</w:t>
      </w:r>
      <w:r w:rsidRPr="000B6220">
        <w:t>égard de l</w:t>
      </w:r>
      <w:r w:rsidR="002257E9">
        <w:t>’</w:t>
      </w:r>
      <w:r w:rsidRPr="000B6220">
        <w:t>Arménie.</w:t>
      </w:r>
    </w:p>
    <w:p w:rsidRPr="000B6220" w:rsidR="00F27F95" w:rsidP="00E05F30" w:rsidRDefault="00F27F95">
      <w:pPr>
        <w:pStyle w:val="JuHA"/>
      </w:pPr>
      <w:r w:rsidRPr="000B6220">
        <w:t>C.  L</w:t>
      </w:r>
      <w:r w:rsidR="002257E9">
        <w:t>’</w:t>
      </w:r>
      <w:r w:rsidRPr="000B6220">
        <w:t>arrestation et le procès du requérant</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26</w:t>
      </w:r>
      <w:r w:rsidRPr="000B6220">
        <w:fldChar w:fldCharType="end"/>
      </w:r>
      <w:r w:rsidRPr="000B6220">
        <w:t>.  Le 4 septembre 2002, pendant que le requérant était au travail, deux policiers se rendirent à son domicile pour informer ses parents qu</w:t>
      </w:r>
      <w:r w:rsidR="002257E9">
        <w:t>’</w:t>
      </w:r>
      <w:r w:rsidRPr="000B6220">
        <w:t>il était recherché et leur demander où il se trouvait.</w:t>
      </w:r>
    </w:p>
    <w:p w:rsidR="00C27424"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27</w:t>
      </w:r>
      <w:r w:rsidRPr="000B6220">
        <w:fldChar w:fldCharType="end"/>
      </w:r>
      <w:r w:rsidRPr="000B6220">
        <w:t>.  Le 5 septembre 2002, les policiers revinrent chercher le requérant et l</w:t>
      </w:r>
      <w:r w:rsidR="002257E9">
        <w:t>’</w:t>
      </w:r>
      <w:r w:rsidRPr="000B6220">
        <w:t>accompagnèrent au poste de police, où ils rédigèrent un procès-verbal faisant état de la redd</w:t>
      </w:r>
      <w:r w:rsidR="005220E5">
        <w:t>ition volontaire du requérant et</w:t>
      </w:r>
      <w:r w:rsidRPr="000B6220">
        <w:t xml:space="preserve"> indiquant que celui-ci, après avoir appris qu</w:t>
      </w:r>
      <w:r w:rsidR="002257E9">
        <w:t>’</w:t>
      </w:r>
      <w:r w:rsidRPr="000B6220">
        <w:t xml:space="preserve">il était recherché, avait décidé de se </w:t>
      </w:r>
      <w:r w:rsidRPr="000B6220" w:rsidR="00321852">
        <w:t>présenter</w:t>
      </w:r>
      <w:r w:rsidRPr="000B6220">
        <w:t xml:space="preserve"> au poste de police. Le même jour, le requérant fut incarcéré au centre de détention de Nubarashen.</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28</w:t>
      </w:r>
      <w:r w:rsidRPr="000B6220">
        <w:fldChar w:fldCharType="end"/>
      </w:r>
      <w:r w:rsidRPr="000B6220">
        <w:t>.  Le 9 septembre 2002, l</w:t>
      </w:r>
      <w:r w:rsidR="002257E9">
        <w:t>’</w:t>
      </w:r>
      <w:r w:rsidRPr="000B6220">
        <w:t>autorité d</w:t>
      </w:r>
      <w:r w:rsidR="002257E9">
        <w:t>’</w:t>
      </w:r>
      <w:r w:rsidRPr="000B6220">
        <w:t>enquête rouvrit la procédure pénale dirigée contre le requérant.</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29</w:t>
      </w:r>
      <w:r w:rsidRPr="000B6220">
        <w:fldChar w:fldCharType="end"/>
      </w:r>
      <w:r w:rsidRPr="000B6220">
        <w:t>.  Le 11 septembre 2002, le requérant prit pour la première fois connaissance de l</w:t>
      </w:r>
      <w:r w:rsidR="002257E9">
        <w:t>’</w:t>
      </w:r>
      <w:r w:rsidRPr="000B6220">
        <w:t>inculpation du 1</w:t>
      </w:r>
      <w:r w:rsidRPr="000B6220">
        <w:rPr>
          <w:vertAlign w:val="superscript"/>
        </w:rPr>
        <w:t>er</w:t>
      </w:r>
      <w:r w:rsidRPr="000B6220">
        <w:t xml:space="preserve"> octobre 2001</w:t>
      </w:r>
      <w:r w:rsidRPr="000B6220" w:rsidR="006830D7">
        <w:t xml:space="preserve"> (paragraphe 22 ci-dessus)</w:t>
      </w:r>
      <w:r w:rsidRPr="000B6220">
        <w:t>. Interrogé le même jour, il déclara qu</w:t>
      </w:r>
      <w:r w:rsidR="002257E9">
        <w:t>’</w:t>
      </w:r>
      <w:r w:rsidRPr="000B6220">
        <w:t xml:space="preserve">il </w:t>
      </w:r>
      <w:r w:rsidRPr="000B6220" w:rsidR="00321852">
        <w:t xml:space="preserve">refusait </w:t>
      </w:r>
      <w:r w:rsidRPr="000B6220">
        <w:t>sciemment d</w:t>
      </w:r>
      <w:r w:rsidR="002257E9">
        <w:t>’</w:t>
      </w:r>
      <w:r w:rsidRPr="000B6220">
        <w:t>effectuer son service militaire en raison de ses convictions religieuses mais qu</w:t>
      </w:r>
      <w:r w:rsidR="002257E9">
        <w:t>’</w:t>
      </w:r>
      <w:r w:rsidRPr="000B6220">
        <w:t>il était prêt à accomplir un service civil de remplacement.</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30</w:t>
      </w:r>
      <w:r w:rsidRPr="000B6220">
        <w:fldChar w:fldCharType="end"/>
      </w:r>
      <w:r w:rsidRPr="000B6220">
        <w:t xml:space="preserve">.  A la même date, le requérant et son avocat furent autorisés à </w:t>
      </w:r>
      <w:r w:rsidR="005220E5">
        <w:t>consulter le</w:t>
      </w:r>
      <w:r w:rsidRPr="000B6220">
        <w:t xml:space="preserve"> dossier. L</w:t>
      </w:r>
      <w:r w:rsidR="002257E9">
        <w:t>’</w:t>
      </w:r>
      <w:r w:rsidRPr="000B6220">
        <w:t>acte d</w:t>
      </w:r>
      <w:r w:rsidR="002257E9">
        <w:t>’</w:t>
      </w:r>
      <w:r w:rsidRPr="000B6220">
        <w:t>inculpation fut achevé le 18 septembre 2002 et approuvé par le procureur le 23 septembre 2002.</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31</w:t>
      </w:r>
      <w:r w:rsidRPr="000B6220">
        <w:fldChar w:fldCharType="end"/>
      </w:r>
      <w:r w:rsidRPr="000B6220">
        <w:t>.  </w:t>
      </w:r>
      <w:r w:rsidR="005220E5">
        <w:t>L</w:t>
      </w:r>
      <w:r w:rsidRPr="000B6220" w:rsidR="005220E5">
        <w:t>e procès du requérant s</w:t>
      </w:r>
      <w:r w:rsidR="002257E9">
        <w:t>’</w:t>
      </w:r>
      <w:r w:rsidRPr="000B6220" w:rsidR="005220E5">
        <w:t xml:space="preserve">ouvrit </w:t>
      </w:r>
      <w:r w:rsidR="005220E5">
        <w:t>l</w:t>
      </w:r>
      <w:r w:rsidRPr="000B6220">
        <w:t xml:space="preserve">e 22 octobre 2002 </w:t>
      </w:r>
      <w:r w:rsidRPr="000B6220" w:rsidR="00321852">
        <w:t>devant le</w:t>
      </w:r>
      <w:r w:rsidRPr="000B6220">
        <w:t xml:space="preserve"> tribunal d</w:t>
      </w:r>
      <w:r w:rsidRPr="000B6220" w:rsidR="00321852">
        <w:t>e</w:t>
      </w:r>
      <w:r w:rsidRPr="000B6220">
        <w:t xml:space="preserve"> district. </w:t>
      </w:r>
      <w:r w:rsidR="00095285">
        <w:t>Il</w:t>
      </w:r>
      <w:r w:rsidRPr="000B6220">
        <w:t xml:space="preserve"> fut suspendu jusqu</w:t>
      </w:r>
      <w:r w:rsidR="002257E9">
        <w:t>’</w:t>
      </w:r>
      <w:r w:rsidRPr="000B6220">
        <w:t>au 28 octobre 2002</w:t>
      </w:r>
      <w:r w:rsidR="00095285">
        <w:t xml:space="preserve">, </w:t>
      </w:r>
      <w:r w:rsidR="00095285">
        <w:rPr>
          <w:szCs w:val="24"/>
          <w:lang w:eastAsia="en-US"/>
        </w:rPr>
        <w:t>l</w:t>
      </w:r>
      <w:r w:rsidR="002257E9">
        <w:rPr>
          <w:szCs w:val="24"/>
          <w:lang w:eastAsia="en-US"/>
        </w:rPr>
        <w:t>’</w:t>
      </w:r>
      <w:r w:rsidR="00095285">
        <w:rPr>
          <w:szCs w:val="24"/>
          <w:lang w:eastAsia="en-US"/>
        </w:rPr>
        <w:t>intéressé</w:t>
      </w:r>
      <w:r w:rsidR="00095285">
        <w:t xml:space="preserve"> n</w:t>
      </w:r>
      <w:r w:rsidR="002257E9">
        <w:t>’</w:t>
      </w:r>
      <w:r w:rsidR="00095285">
        <w:t>ayant</w:t>
      </w:r>
      <w:r w:rsidRPr="000B6220">
        <w:t xml:space="preserve"> pas reçu copie de l</w:t>
      </w:r>
      <w:r w:rsidR="002257E9">
        <w:t>’</w:t>
      </w:r>
      <w:r w:rsidRPr="000B6220">
        <w:t>acte d</w:t>
      </w:r>
      <w:r w:rsidR="002257E9">
        <w:t>’</w:t>
      </w:r>
      <w:r w:rsidRPr="000B6220">
        <w:t>inculpation.</w:t>
      </w:r>
    </w:p>
    <w:p w:rsidR="00C27424"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32</w:t>
      </w:r>
      <w:r w:rsidRPr="000B6220">
        <w:fldChar w:fldCharType="end"/>
      </w:r>
      <w:r w:rsidRPr="000B6220">
        <w:t>.  Le 28 octobre 2002, à l</w:t>
      </w:r>
      <w:r w:rsidR="002257E9">
        <w:t>’</w:t>
      </w:r>
      <w:r w:rsidRPr="000B6220">
        <w:t>audience, le requérant réitéra les déclarations qu</w:t>
      </w:r>
      <w:r w:rsidR="002257E9">
        <w:t>’</w:t>
      </w:r>
      <w:r w:rsidRPr="000B6220">
        <w:t>il avait faites lors de son interrogatoire</w:t>
      </w:r>
      <w:r w:rsidRPr="000B6220" w:rsidR="006830D7">
        <w:t xml:space="preserve"> (paragraphe 29 ci-dessus)</w:t>
      </w:r>
      <w:r w:rsidRPr="000B6220">
        <w:t>.</w:t>
      </w:r>
    </w:p>
    <w:p w:rsidRPr="000B6220" w:rsidR="00F27F95" w:rsidP="00E05F30" w:rsidRDefault="006830D7">
      <w:pPr>
        <w:pStyle w:val="JuPara"/>
      </w:pPr>
      <w:r w:rsidRPr="000B6220">
        <w:fldChar w:fldCharType="begin"/>
      </w:r>
      <w:r w:rsidRPr="000B6220">
        <w:instrText xml:space="preserve"> SEQ level0 \*arabic </w:instrText>
      </w:r>
      <w:r w:rsidRPr="000B6220">
        <w:fldChar w:fldCharType="separate"/>
      </w:r>
      <w:r w:rsidR="00226498">
        <w:rPr>
          <w:noProof/>
        </w:rPr>
        <w:t>33</w:t>
      </w:r>
      <w:r w:rsidRPr="000B6220">
        <w:fldChar w:fldCharType="end"/>
      </w:r>
      <w:r w:rsidRPr="000B6220">
        <w:t>.  </w:t>
      </w:r>
      <w:r w:rsidRPr="000B6220" w:rsidR="00F27F95">
        <w:t>A cette même date, le tribunal de district déclara le requérant coupable des faits qui lui étaient reprochés et le condamna à une peine d</w:t>
      </w:r>
      <w:r w:rsidR="002257E9">
        <w:t>’</w:t>
      </w:r>
      <w:r w:rsidRPr="000B6220" w:rsidR="00F27F95">
        <w:t>un an et six mois</w:t>
      </w:r>
      <w:r w:rsidRPr="00095285" w:rsidR="00095285">
        <w:t xml:space="preserve"> </w:t>
      </w:r>
      <w:r w:rsidRPr="000B6220" w:rsidR="00095285">
        <w:t>d</w:t>
      </w:r>
      <w:r w:rsidR="002257E9">
        <w:t>’</w:t>
      </w:r>
      <w:r w:rsidRPr="000B6220" w:rsidR="00095285">
        <w:t>emprisonnement</w:t>
      </w:r>
      <w:r w:rsidRPr="000B6220" w:rsidR="00F27F95">
        <w:t>.</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34</w:t>
      </w:r>
      <w:r w:rsidRPr="000B6220">
        <w:fldChar w:fldCharType="end"/>
      </w:r>
      <w:r w:rsidRPr="000B6220">
        <w:t xml:space="preserve">.  Le 29 novembre 2002, le procureur forma un recours contre ce jugement et sollicita une peine plus </w:t>
      </w:r>
      <w:r w:rsidR="00095285">
        <w:t>lourde pour les motifs suivants</w:t>
      </w:r>
      <w:r w:rsidRPr="000B6220">
        <w:t> :</w:t>
      </w:r>
    </w:p>
    <w:p w:rsidRPr="000B6220" w:rsidR="00F27F95" w:rsidP="00E05F30" w:rsidRDefault="00F27F95">
      <w:pPr>
        <w:pStyle w:val="JuQuot"/>
      </w:pPr>
      <w:r w:rsidRPr="000B6220">
        <w:t>« Le [requérant] n</w:t>
      </w:r>
      <w:r w:rsidR="002257E9">
        <w:t>’</w:t>
      </w:r>
      <w:r w:rsidRPr="000B6220">
        <w:t>a pas reconnu sa culpabilité, expliquant qu</w:t>
      </w:r>
      <w:r w:rsidR="002257E9">
        <w:t>’</w:t>
      </w:r>
      <w:r w:rsidRPr="000B6220">
        <w:t>il refus</w:t>
      </w:r>
      <w:r w:rsidRPr="000B6220" w:rsidR="007669CB">
        <w:t>ait</w:t>
      </w:r>
      <w:r w:rsidRPr="000B6220">
        <w:t xml:space="preserve"> d</w:t>
      </w:r>
      <w:r w:rsidR="002257E9">
        <w:t>’</w:t>
      </w:r>
      <w:r w:rsidRPr="000B6220">
        <w:t xml:space="preserve">effectuer </w:t>
      </w:r>
      <w:r w:rsidRPr="000B6220" w:rsidR="007669CB">
        <w:t>son</w:t>
      </w:r>
      <w:r w:rsidRPr="000B6220">
        <w:t xml:space="preserve"> service [militaire] parce qu</w:t>
      </w:r>
      <w:r w:rsidR="002257E9">
        <w:t>’</w:t>
      </w:r>
      <w:r w:rsidRPr="000B6220">
        <w:t>il avait étudié la Bible et que, en tant que témoin de Jéhovah, sa foi ne lui permettait pas de servir dans l</w:t>
      </w:r>
      <w:r w:rsidR="002257E9">
        <w:t>’</w:t>
      </w:r>
      <w:r w:rsidRPr="000B6220">
        <w:t>armée arménienne.</w:t>
      </w:r>
    </w:p>
    <w:p w:rsidRPr="000B6220" w:rsidR="00F27F95" w:rsidP="00E05F30" w:rsidRDefault="00F27F95">
      <w:pPr>
        <w:pStyle w:val="JuQuot"/>
      </w:pPr>
      <w:r w:rsidRPr="000B6220">
        <w:t>[Le requérant] est physiquement apte et n</w:t>
      </w:r>
      <w:r w:rsidR="002257E9">
        <w:t>’</w:t>
      </w:r>
      <w:r w:rsidRPr="000B6220">
        <w:t>a pas d</w:t>
      </w:r>
      <w:r w:rsidR="002257E9">
        <w:t>’</w:t>
      </w:r>
      <w:r w:rsidRPr="000B6220">
        <w:t>emploi.</w:t>
      </w:r>
    </w:p>
    <w:p w:rsidRPr="000B6220" w:rsidR="00F27F95" w:rsidP="00E05F30" w:rsidRDefault="00F27F95">
      <w:pPr>
        <w:pStyle w:val="JuQuot"/>
      </w:pPr>
      <w:r w:rsidRPr="000B6220">
        <w:t xml:space="preserve">Je pense que le tribunal a prononcé une peine manifestement </w:t>
      </w:r>
      <w:r w:rsidR="00095285">
        <w:t>légère</w:t>
      </w:r>
      <w:r w:rsidRPr="000B6220">
        <w:t xml:space="preserve"> et n</w:t>
      </w:r>
      <w:r w:rsidR="002257E9">
        <w:t>’</w:t>
      </w:r>
      <w:r w:rsidRPr="000B6220">
        <w:t xml:space="preserve">a pas pris en compte </w:t>
      </w:r>
      <w:r w:rsidRPr="000B6220" w:rsidR="008560AF">
        <w:t>le degré de</w:t>
      </w:r>
      <w:r w:rsidRPr="000B6220">
        <w:t xml:space="preserve"> risque social qu</w:t>
      </w:r>
      <w:r w:rsidR="002257E9">
        <w:t>’</w:t>
      </w:r>
      <w:r w:rsidRPr="000B6220">
        <w:t>entraîne cette infraction, la personnalité [du requérant] et les motifs manifestement infondés et dangereux à l</w:t>
      </w:r>
      <w:r w:rsidR="002257E9">
        <w:t>’</w:t>
      </w:r>
      <w:r w:rsidRPr="000B6220">
        <w:t>origine du refus [du requérant] d</w:t>
      </w:r>
      <w:r w:rsidR="002257E9">
        <w:t>’</w:t>
      </w:r>
      <w:r w:rsidRPr="000B6220">
        <w:t>effectuer son service [militaire]. »</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35</w:t>
      </w:r>
      <w:r w:rsidRPr="000B6220">
        <w:fldChar w:fldCharType="end"/>
      </w:r>
      <w:r w:rsidRPr="000B6220">
        <w:t xml:space="preserve">.  Le 19 décembre 2002, </w:t>
      </w:r>
      <w:r w:rsidRPr="000B6220" w:rsidR="007669CB">
        <w:t>le</w:t>
      </w:r>
      <w:r w:rsidRPr="000B6220">
        <w:t xml:space="preserve"> requérant </w:t>
      </w:r>
      <w:r w:rsidRPr="000B6220" w:rsidR="008560AF">
        <w:t>contesta le</w:t>
      </w:r>
      <w:r w:rsidRPr="000B6220">
        <w:t xml:space="preserve"> recours formé par le procureur. Il faisait valoir </w:t>
      </w:r>
      <w:r w:rsidRPr="000B6220" w:rsidR="008560AF">
        <w:t xml:space="preserve">dans son mémoire </w:t>
      </w:r>
      <w:r w:rsidRPr="000B6220">
        <w:t xml:space="preserve">que le jugement rendu enfreignait </w:t>
      </w:r>
      <w:r w:rsidRPr="000B6220" w:rsidR="007669CB">
        <w:t>s</w:t>
      </w:r>
      <w:r w:rsidR="00095285">
        <w:t>on droit à l</w:t>
      </w:r>
      <w:r w:rsidRPr="000B6220" w:rsidR="007669CB">
        <w:t>a</w:t>
      </w:r>
      <w:r w:rsidRPr="000B6220">
        <w:t xml:space="preserve"> liberté de conscience et de religion garanti par l</w:t>
      </w:r>
      <w:r w:rsidR="002257E9">
        <w:t>’</w:t>
      </w:r>
      <w:r w:rsidRPr="000B6220">
        <w:t>article 23 de la Constitution, l</w:t>
      </w:r>
      <w:r w:rsidR="002257E9">
        <w:t>’</w:t>
      </w:r>
      <w:r w:rsidRPr="000B6220">
        <w:t>article 9 de la Convention et d</w:t>
      </w:r>
      <w:r w:rsidR="002257E9">
        <w:t>’</w:t>
      </w:r>
      <w:r w:rsidRPr="000B6220">
        <w:t>autres instruments internationaux, et que l</w:t>
      </w:r>
      <w:r w:rsidR="002257E9">
        <w:t>’</w:t>
      </w:r>
      <w:r w:rsidRPr="000B6220">
        <w:t xml:space="preserve">absence de loi </w:t>
      </w:r>
      <w:r w:rsidRPr="000B6220" w:rsidR="007669CB">
        <w:t>instituant</w:t>
      </w:r>
      <w:r w:rsidRPr="000B6220">
        <w:t xml:space="preserve"> un service civil de remplacement ne pouvait être invoquée pour justifier que l</w:t>
      </w:r>
      <w:r w:rsidR="002257E9">
        <w:t>’</w:t>
      </w:r>
      <w:r w:rsidRPr="000B6220">
        <w:t>on inflige une sanction pénale à une personne refusant d</w:t>
      </w:r>
      <w:r w:rsidR="002257E9">
        <w:t>’</w:t>
      </w:r>
      <w:r w:rsidRPr="000B6220">
        <w:t>effectuer son service militaire pour des raisons de conscience.</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36</w:t>
      </w:r>
      <w:r w:rsidRPr="000B6220">
        <w:fldChar w:fldCharType="end"/>
      </w:r>
      <w:r w:rsidRPr="000B6220">
        <w:t>.  Le 24 décembre 2002, dans le cadre de la procédure devant la Cour d</w:t>
      </w:r>
      <w:r w:rsidR="002257E9">
        <w:t>’</w:t>
      </w:r>
      <w:r w:rsidRPr="000B6220">
        <w:t xml:space="preserve">appel </w:t>
      </w:r>
      <w:r w:rsidRPr="00D21B53">
        <w:t>pénale militaire</w:t>
      </w:r>
      <w:r w:rsidRPr="000B6220">
        <w:t xml:space="preserve"> </w:t>
      </w:r>
      <w:r w:rsidRPr="00810190">
        <w:rPr>
          <w:szCs w:val="24"/>
        </w:rPr>
        <w:t>(</w:t>
      </w:r>
      <w:r w:rsidRPr="00810190">
        <w:rPr>
          <w:rFonts w:ascii="Sylfaen" w:hAnsi="Sylfaen" w:cs="Sylfaen"/>
          <w:i/>
          <w:szCs w:val="24"/>
        </w:rPr>
        <w:t>ՀՀ քրեական և զինվորական գործերով վերաքննիչ դատարան</w:t>
      </w:r>
      <w:r w:rsidRPr="00810190" w:rsidR="00D21B53">
        <w:rPr>
          <w:rFonts w:ascii="Sylfaen" w:hAnsi="Sylfaen" w:cs="Sylfaen"/>
          <w:szCs w:val="24"/>
        </w:rPr>
        <w:t xml:space="preserve"> </w:t>
      </w:r>
      <w:r w:rsidRPr="00D21B53" w:rsidR="00D21B53">
        <w:t>– « la Cour d</w:t>
      </w:r>
      <w:r w:rsidR="002257E9">
        <w:t>’</w:t>
      </w:r>
      <w:r w:rsidRPr="00D21B53" w:rsidR="00D21B53">
        <w:t>appel »</w:t>
      </w:r>
      <w:r w:rsidRPr="00D21B53">
        <w:t>),</w:t>
      </w:r>
      <w:r w:rsidRPr="000B6220">
        <w:t xml:space="preserve"> le procureur argua notamment qu</w:t>
      </w:r>
      <w:r w:rsidR="002257E9">
        <w:t>’</w:t>
      </w:r>
      <w:r w:rsidRPr="000B6220">
        <w:t>il convenait aussi d</w:t>
      </w:r>
      <w:r w:rsidR="002257E9">
        <w:t>’</w:t>
      </w:r>
      <w:r w:rsidRPr="000B6220">
        <w:t>infliger au requérant une peine plus lourde parce que celui-ci s</w:t>
      </w:r>
      <w:r w:rsidR="002257E9">
        <w:t>’</w:t>
      </w:r>
      <w:r w:rsidRPr="000B6220">
        <w:t>était dérobé à l</w:t>
      </w:r>
      <w:r w:rsidR="002257E9">
        <w:t>’</w:t>
      </w:r>
      <w:r w:rsidRPr="000B6220">
        <w:t>enquête.</w:t>
      </w:r>
      <w:r w:rsidR="00270037">
        <w:t xml:space="preserve"> L</w:t>
      </w:r>
      <w:r w:rsidRPr="000B6220">
        <w:t>e requérant</w:t>
      </w:r>
      <w:r w:rsidR="00270037">
        <w:t xml:space="preserve"> soutient que</w:t>
      </w:r>
      <w:r w:rsidRPr="000B6220">
        <w:t xml:space="preserve"> lors de l</w:t>
      </w:r>
      <w:r w:rsidR="002257E9">
        <w:t>’</w:t>
      </w:r>
      <w:r w:rsidRPr="000B6220">
        <w:t>audience d</w:t>
      </w:r>
      <w:r w:rsidR="002257E9">
        <w:t>’</w:t>
      </w:r>
      <w:r w:rsidRPr="000B6220">
        <w:t xml:space="preserve">appel on </w:t>
      </w:r>
      <w:r w:rsidR="009F0857">
        <w:t>a</w:t>
      </w:r>
      <w:r w:rsidRPr="000B6220">
        <w:t xml:space="preserve"> fait pression sur lui pour l</w:t>
      </w:r>
      <w:r w:rsidR="002257E9">
        <w:t>’</w:t>
      </w:r>
      <w:r w:rsidRPr="000B6220">
        <w:t xml:space="preserve">amener à renoncer à ses convictions religieuses relatives au service militaire : </w:t>
      </w:r>
      <w:r w:rsidRPr="000B6220" w:rsidR="00E41BAE">
        <w:t xml:space="preserve">en particulier, </w:t>
      </w:r>
      <w:r w:rsidRPr="000B6220">
        <w:t>le procureur et l</w:t>
      </w:r>
      <w:r w:rsidR="002257E9">
        <w:t>’</w:t>
      </w:r>
      <w:r w:rsidRPr="000B6220">
        <w:t xml:space="preserve">un des juges lui auraient proposé de </w:t>
      </w:r>
      <w:r w:rsidR="009A2732">
        <w:t>clore</w:t>
      </w:r>
      <w:r w:rsidRPr="000B6220">
        <w:t xml:space="preserve"> l</w:t>
      </w:r>
      <w:r w:rsidR="002257E9">
        <w:t>’</w:t>
      </w:r>
      <w:r w:rsidRPr="000B6220">
        <w:t>affaire s</w:t>
      </w:r>
      <w:r w:rsidR="002257E9">
        <w:t>’</w:t>
      </w:r>
      <w:r w:rsidRPr="000B6220">
        <w:t>il abandonnait son objection de conscience et effectuait son service militaire.</w:t>
      </w:r>
    </w:p>
    <w:p w:rsidR="00732252" w:rsidP="00732252" w:rsidRDefault="00F27F95">
      <w:pPr>
        <w:pStyle w:val="JuPara"/>
      </w:pPr>
      <w:r w:rsidRPr="000B6220">
        <w:fldChar w:fldCharType="begin"/>
      </w:r>
      <w:r w:rsidRPr="000B6220">
        <w:instrText xml:space="preserve"> SEQ level0 \*arabic </w:instrText>
      </w:r>
      <w:r w:rsidRPr="000B6220">
        <w:fldChar w:fldCharType="separate"/>
      </w:r>
      <w:r w:rsidR="00226498">
        <w:rPr>
          <w:noProof/>
        </w:rPr>
        <w:t>37</w:t>
      </w:r>
      <w:r w:rsidRPr="000B6220">
        <w:fldChar w:fldCharType="end"/>
      </w:r>
      <w:r w:rsidR="000F09AB">
        <w:t xml:space="preserve">.  A la même date, la </w:t>
      </w:r>
      <w:r w:rsidR="009F0857">
        <w:t>C</w:t>
      </w:r>
      <w:r w:rsidRPr="000B6220">
        <w:t>our d</w:t>
      </w:r>
      <w:r w:rsidR="002257E9">
        <w:t>’</w:t>
      </w:r>
      <w:r w:rsidRPr="000B6220">
        <w:t>appel décida d</w:t>
      </w:r>
      <w:r w:rsidR="002257E9">
        <w:t>’</w:t>
      </w:r>
      <w:r w:rsidRPr="000B6220">
        <w:t>accueillir le recours du procureur ; elle porta à deux ans et demi la durée de la peine d</w:t>
      </w:r>
      <w:r w:rsidR="002257E9">
        <w:t>’</w:t>
      </w:r>
      <w:r w:rsidRPr="000B6220">
        <w:t>emprisonnement devant être purgée par le requérant, déclarant :</w:t>
      </w:r>
    </w:p>
    <w:p w:rsidRPr="000B6220" w:rsidR="00F27F95" w:rsidP="00732252" w:rsidRDefault="00F27F95">
      <w:pPr>
        <w:pStyle w:val="JuQuot"/>
      </w:pPr>
      <w:r w:rsidRPr="000B6220">
        <w:t>« Lorsqu</w:t>
      </w:r>
      <w:r w:rsidR="002257E9">
        <w:t>’</w:t>
      </w:r>
      <w:r w:rsidRPr="000B6220">
        <w:t>il a condamné [le requérant], le tribunal de première instance a pris en compte le caractère mineur de l</w:t>
      </w:r>
      <w:r w:rsidR="002257E9">
        <w:t>’</w:t>
      </w:r>
      <w:r w:rsidRPr="000B6220">
        <w:t>infraction, le jeune âge de l</w:t>
      </w:r>
      <w:r w:rsidR="002257E9">
        <w:t>’</w:t>
      </w:r>
      <w:r w:rsidR="00D410EC">
        <w:t>intéressé et</w:t>
      </w:r>
      <w:r w:rsidRPr="000B6220">
        <w:t xml:space="preserve"> </w:t>
      </w:r>
      <w:r w:rsidR="00270037">
        <w:t>l</w:t>
      </w:r>
      <w:r w:rsidR="002257E9">
        <w:t>’</w:t>
      </w:r>
      <w:r w:rsidR="00270037">
        <w:t xml:space="preserve">absence de mention dans </w:t>
      </w:r>
      <w:r w:rsidRPr="000B6220">
        <w:t>son casier judiciaire</w:t>
      </w:r>
      <w:r w:rsidR="00D410EC">
        <w:t>,</w:t>
      </w:r>
      <w:r w:rsidRPr="000B6220">
        <w:t xml:space="preserve"> et </w:t>
      </w:r>
      <w:r w:rsidR="00270037">
        <w:t>a considéré</w:t>
      </w:r>
      <w:r w:rsidRPr="000B6220">
        <w:t xml:space="preserve"> qu</w:t>
      </w:r>
      <w:r w:rsidR="002257E9">
        <w:t>’</w:t>
      </w:r>
      <w:r w:rsidRPr="000B6220">
        <w:t>il a</w:t>
      </w:r>
      <w:r w:rsidRPr="000B6220" w:rsidR="007669CB">
        <w:t>vait</w:t>
      </w:r>
      <w:r w:rsidRPr="000B6220">
        <w:t xml:space="preserve"> reconnu sa culpabilité, a</w:t>
      </w:r>
      <w:r w:rsidRPr="000B6220" w:rsidR="007669CB">
        <w:t>vait</w:t>
      </w:r>
      <w:r w:rsidRPr="000B6220">
        <w:t xml:space="preserve"> activement participé à la découverte de l</w:t>
      </w:r>
      <w:r w:rsidR="002257E9">
        <w:t>’</w:t>
      </w:r>
      <w:r w:rsidRPr="000B6220">
        <w:t xml:space="preserve">infraction et </w:t>
      </w:r>
      <w:r w:rsidRPr="000B6220" w:rsidR="007669CB">
        <w:t>s</w:t>
      </w:r>
      <w:r w:rsidR="002257E9">
        <w:t>’</w:t>
      </w:r>
      <w:r w:rsidRPr="000B6220" w:rsidR="007669CB">
        <w:t>était</w:t>
      </w:r>
      <w:r w:rsidRPr="000B6220">
        <w:t xml:space="preserve"> sincèrement repenti.</w:t>
      </w:r>
    </w:p>
    <w:p w:rsidRPr="000B6220" w:rsidR="00F27F95" w:rsidP="00E05F30" w:rsidRDefault="00F27F95">
      <w:pPr>
        <w:pStyle w:val="JuQuot"/>
      </w:pPr>
      <w:r w:rsidRPr="000B6220">
        <w:t>Cependant, il a été établi au cours de la procédure d</w:t>
      </w:r>
      <w:r w:rsidR="002257E9">
        <w:t>’</w:t>
      </w:r>
      <w:r w:rsidRPr="000B6220">
        <w:t xml:space="preserve">appel non seulement que [le requérant] </w:t>
      </w:r>
      <w:r w:rsidRPr="000B6220" w:rsidR="007669CB">
        <w:t>ne reconnaît</w:t>
      </w:r>
      <w:r w:rsidRPr="000B6220">
        <w:t xml:space="preserve"> pas sa culpabilité mais aussi qu</w:t>
      </w:r>
      <w:r w:rsidR="002257E9">
        <w:t>’</w:t>
      </w:r>
      <w:r w:rsidRPr="000B6220">
        <w:t xml:space="preserve">il ne </w:t>
      </w:r>
      <w:r w:rsidRPr="000B6220" w:rsidR="007669CB">
        <w:t>se repent pas</w:t>
      </w:r>
      <w:r w:rsidRPr="000B6220">
        <w:t xml:space="preserve"> et que, par ailleurs, </w:t>
      </w:r>
      <w:r w:rsidRPr="000B6220" w:rsidR="007669CB">
        <w:t>loin d</w:t>
      </w:r>
      <w:r w:rsidR="002257E9">
        <w:t>’</w:t>
      </w:r>
      <w:r w:rsidRPr="000B6220" w:rsidR="007669CB">
        <w:t>avoir</w:t>
      </w:r>
      <w:r w:rsidRPr="000B6220">
        <w:t xml:space="preserve"> aidé à la découverte de l</w:t>
      </w:r>
      <w:r w:rsidR="002257E9">
        <w:t>’</w:t>
      </w:r>
      <w:r w:rsidRPr="000B6220">
        <w:t>infraction il s</w:t>
      </w:r>
      <w:r w:rsidR="002257E9">
        <w:t>’</w:t>
      </w:r>
      <w:r w:rsidRPr="000B6220">
        <w:t>est dérobé à l</w:t>
      </w:r>
      <w:r w:rsidR="002257E9">
        <w:t>’</w:t>
      </w:r>
      <w:r w:rsidRPr="000B6220">
        <w:t>enquête préliminaire</w:t>
      </w:r>
      <w:r w:rsidRPr="000B6220" w:rsidR="008560AF">
        <w:t>,</w:t>
      </w:r>
      <w:r w:rsidRPr="000B6220">
        <w:t xml:space="preserve"> </w:t>
      </w:r>
      <w:r w:rsidRPr="000B6220" w:rsidR="007669CB">
        <w:t>de sorte</w:t>
      </w:r>
      <w:r w:rsidRPr="000B6220">
        <w:t xml:space="preserve"> que l</w:t>
      </w:r>
      <w:r w:rsidR="002257E9">
        <w:t>’</w:t>
      </w:r>
      <w:r w:rsidRPr="000B6220">
        <w:t>on ne savait pas où il se trouvait</w:t>
      </w:r>
      <w:r w:rsidRPr="000B6220" w:rsidR="007669CB">
        <w:t xml:space="preserve"> et qu</w:t>
      </w:r>
      <w:r w:rsidR="002257E9">
        <w:t>’</w:t>
      </w:r>
      <w:r w:rsidRPr="000B6220" w:rsidR="007669CB">
        <w:t xml:space="preserve">il </w:t>
      </w:r>
      <w:r w:rsidRPr="000B6220">
        <w:t>a fallu lancer des recherches.</w:t>
      </w:r>
    </w:p>
    <w:p w:rsidRPr="000B6220" w:rsidR="00F27F95" w:rsidP="00E05F30" w:rsidRDefault="00F27F95">
      <w:pPr>
        <w:pStyle w:val="JuQuot"/>
      </w:pPr>
      <w:r w:rsidRPr="000B6220">
        <w:t>Eu égard à ces circonstances ainsi qu</w:t>
      </w:r>
      <w:r w:rsidR="002257E9">
        <w:t>’</w:t>
      </w:r>
      <w:r w:rsidRPr="000B6220">
        <w:t xml:space="preserve">à la nature et </w:t>
      </w:r>
      <w:r w:rsidR="00BF6465">
        <w:t>aux motifs</w:t>
      </w:r>
      <w:r w:rsidRPr="000B6220">
        <w:t xml:space="preserve"> de l</w:t>
      </w:r>
      <w:r w:rsidR="002257E9">
        <w:t>’</w:t>
      </w:r>
      <w:r w:rsidRPr="000B6220">
        <w:t xml:space="preserve">infraction et au degré de risque social </w:t>
      </w:r>
      <w:r w:rsidR="00BF6465">
        <w:t>que</w:t>
      </w:r>
      <w:r w:rsidRPr="000B6220">
        <w:t xml:space="preserve"> celle-ci</w:t>
      </w:r>
      <w:r w:rsidR="00BF6465">
        <w:t xml:space="preserve"> comporte</w:t>
      </w:r>
      <w:r w:rsidRPr="000B6220">
        <w:t>, la Cour d</w:t>
      </w:r>
      <w:r w:rsidR="002257E9">
        <w:t>’</w:t>
      </w:r>
      <w:r w:rsidRPr="000B6220">
        <w:t>appel considère qu</w:t>
      </w:r>
      <w:r w:rsidR="002257E9">
        <w:t>’</w:t>
      </w:r>
      <w:r w:rsidRPr="000B6220">
        <w:t>il y a lieu d</w:t>
      </w:r>
      <w:r w:rsidR="002257E9">
        <w:t>’</w:t>
      </w:r>
      <w:r w:rsidRPr="000B6220">
        <w:t>accueillir le recours formé par le procureur et de prononcer contre [le requérant] une peine adaptée, plus lourde. »</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38</w:t>
      </w:r>
      <w:r w:rsidRPr="000B6220">
        <w:fldChar w:fldCharType="end"/>
      </w:r>
      <w:r w:rsidRPr="000B6220">
        <w:t xml:space="preserve">.  A une date non précisée, </w:t>
      </w:r>
      <w:r w:rsidRPr="000B6220" w:rsidR="00E41BAE">
        <w:t>le</w:t>
      </w:r>
      <w:r w:rsidRPr="000B6220">
        <w:t xml:space="preserve"> requérant forma contre cette décision un pourvoi en cassation dans lequel il présentait des arguments similaires à ceux </w:t>
      </w:r>
      <w:r w:rsidR="00BF6465">
        <w:t>soulevés</w:t>
      </w:r>
      <w:r w:rsidRPr="000B6220">
        <w:t xml:space="preserve"> dans </w:t>
      </w:r>
      <w:r w:rsidRPr="000B6220" w:rsidR="0050222B">
        <w:t>son mémoire</w:t>
      </w:r>
      <w:r w:rsidRPr="000B6220">
        <w:t xml:space="preserve"> du 19 décembre 2002</w:t>
      </w:r>
      <w:r w:rsidR="004B588C">
        <w:t xml:space="preserve"> (paragraphe 35 ci</w:t>
      </w:r>
      <w:r w:rsidR="004B588C">
        <w:noBreakHyphen/>
      </w:r>
      <w:r w:rsidRPr="000B6220" w:rsidR="00E41BAE">
        <w:t>dessus)</w:t>
      </w:r>
      <w:r w:rsidRPr="000B6220">
        <w:t xml:space="preserve">. Il rappelait </w:t>
      </w:r>
      <w:r w:rsidRPr="000B6220" w:rsidR="00E41BAE">
        <w:t>qu</w:t>
      </w:r>
      <w:r w:rsidR="002257E9">
        <w:t>’</w:t>
      </w:r>
      <w:r w:rsidRPr="000B6220" w:rsidR="00E41BAE">
        <w:t>il</w:t>
      </w:r>
      <w:r w:rsidRPr="000B6220">
        <w:t xml:space="preserve"> était prêt à effectuer un service civil de remplacement et déclarait </w:t>
      </w:r>
      <w:r w:rsidRPr="000B6220" w:rsidR="00E41BAE">
        <w:t>qu</w:t>
      </w:r>
      <w:r w:rsidR="002257E9">
        <w:t>’</w:t>
      </w:r>
      <w:r w:rsidRPr="000B6220" w:rsidR="00E41BAE">
        <w:t>il</w:t>
      </w:r>
      <w:r w:rsidRPr="000B6220">
        <w:t xml:space="preserve"> aurait pu faire un travail utile à la société au lieu de </w:t>
      </w:r>
      <w:r w:rsidRPr="000B6220" w:rsidR="007669CB">
        <w:t xml:space="preserve">devoir </w:t>
      </w:r>
      <w:r w:rsidRPr="000B6220">
        <w:t>passer deux ans et demi en prison. D</w:t>
      </w:r>
      <w:r w:rsidR="002257E9">
        <w:t>’</w:t>
      </w:r>
      <w:r w:rsidRPr="000B6220">
        <w:t>après lui, l</w:t>
      </w:r>
      <w:r w:rsidR="002257E9">
        <w:t>’</w:t>
      </w:r>
      <w:r w:rsidRPr="000B6220">
        <w:t xml:space="preserve">article 12 de la loi sur les obligations militaires </w:t>
      </w:r>
      <w:r w:rsidRPr="000B6220" w:rsidR="00E41BAE">
        <w:t xml:space="preserve">(paragraphe 43 ci-dessous) </w:t>
      </w:r>
      <w:r w:rsidRPr="000B6220">
        <w:t xml:space="preserve">prévoyait cette possibilité. </w:t>
      </w:r>
      <w:r w:rsidRPr="000B6220" w:rsidR="007669CB">
        <w:t xml:space="preserve">A son </w:t>
      </w:r>
      <w:r w:rsidRPr="000B6220">
        <w:t>avis, le principe d</w:t>
      </w:r>
      <w:r w:rsidR="002257E9">
        <w:t>’</w:t>
      </w:r>
      <w:r w:rsidRPr="000B6220">
        <w:t xml:space="preserve">un service de remplacement était aussi </w:t>
      </w:r>
      <w:r w:rsidR="004B588C">
        <w:t>consacré</w:t>
      </w:r>
      <w:r w:rsidRPr="000B6220">
        <w:t xml:space="preserve"> par l</w:t>
      </w:r>
      <w:r w:rsidR="002257E9">
        <w:t>’</w:t>
      </w:r>
      <w:r w:rsidRPr="000B6220">
        <w:t xml:space="preserve">article 19 de la loi sur la liberté de conscience et les organisations religieuses </w:t>
      </w:r>
      <w:r w:rsidRPr="000B6220" w:rsidR="00E41BAE">
        <w:t>(paragraphe 44 ci-dessous),</w:t>
      </w:r>
      <w:r w:rsidRPr="000B6220">
        <w:t xml:space="preserve"> et l</w:t>
      </w:r>
      <w:r w:rsidR="002257E9">
        <w:t>’</w:t>
      </w:r>
      <w:r w:rsidRPr="000B6220">
        <w:t xml:space="preserve">absence de mécanismes appropriés de mise en œuvre ne pouvait </w:t>
      </w:r>
      <w:r w:rsidRPr="000B6220" w:rsidR="00590AA3">
        <w:t>lui être reprochée</w:t>
      </w:r>
      <w:r w:rsidRPr="000B6220">
        <w:t>.</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39</w:t>
      </w:r>
      <w:r w:rsidRPr="000B6220">
        <w:fldChar w:fldCharType="end"/>
      </w:r>
      <w:r w:rsidRPr="000B6220">
        <w:t>.  Le 24 janvier 2003, la Cour de cassation (</w:t>
      </w:r>
      <w:r w:rsidRPr="000B6220">
        <w:rPr>
          <w:rFonts w:ascii="Sylfaen" w:hAnsi="Sylfaen" w:cs="Sylfaen"/>
          <w:i/>
        </w:rPr>
        <w:t>ՀՀ վճռաբեկ դատարան</w:t>
      </w:r>
      <w:r w:rsidRPr="000B6220">
        <w:t>) confirma l</w:t>
      </w:r>
      <w:r w:rsidR="002257E9">
        <w:t>’</w:t>
      </w:r>
      <w:r w:rsidRPr="000B6220">
        <w:t xml:space="preserve">arrêt de la </w:t>
      </w:r>
      <w:r w:rsidRPr="001F3333">
        <w:t>Cour d</w:t>
      </w:r>
      <w:r w:rsidR="002257E9">
        <w:t>’</w:t>
      </w:r>
      <w:r w:rsidRPr="000B6220">
        <w:t>app</w:t>
      </w:r>
      <w:r w:rsidRPr="000B6220" w:rsidR="0050222B">
        <w:t>el, constatant notamment que le droit garanti</w:t>
      </w:r>
      <w:r w:rsidRPr="000B6220">
        <w:t xml:space="preserve"> par l</w:t>
      </w:r>
      <w:r w:rsidR="002257E9">
        <w:t>’</w:t>
      </w:r>
      <w:r w:rsidRPr="000B6220">
        <w:t>arti</w:t>
      </w:r>
      <w:r w:rsidRPr="000B6220" w:rsidR="0050222B">
        <w:t>cle 23 de la Constitution étai</w:t>
      </w:r>
      <w:r w:rsidRPr="000B6220">
        <w:t>t soumis à des limitations prévues à l</w:t>
      </w:r>
      <w:r w:rsidR="002257E9">
        <w:t>’</w:t>
      </w:r>
      <w:r w:rsidRPr="000B6220">
        <w:t>article 44 de celle-ci</w:t>
      </w:r>
      <w:r w:rsidRPr="000B6220" w:rsidR="00590AA3">
        <w:t xml:space="preserve"> (paragraphe 41 ci-dessous)</w:t>
      </w:r>
      <w:r w:rsidRPr="000B6220">
        <w:t xml:space="preserve">, comme celles nécessaires à la </w:t>
      </w:r>
      <w:r w:rsidRPr="000B6220" w:rsidR="007669CB">
        <w:t xml:space="preserve">protection de la </w:t>
      </w:r>
      <w:r w:rsidRPr="000B6220">
        <w:t>sécurité de l</w:t>
      </w:r>
      <w:r w:rsidR="002257E9">
        <w:t>’</w:t>
      </w:r>
      <w:r w:rsidRPr="000B6220">
        <w:t xml:space="preserve">Etat, </w:t>
      </w:r>
      <w:r w:rsidRPr="000B6220" w:rsidR="007669CB">
        <w:t>de</w:t>
      </w:r>
      <w:r w:rsidRPr="000B6220">
        <w:t xml:space="preserve"> la sûreté publique et de l</w:t>
      </w:r>
      <w:r w:rsidR="002257E9">
        <w:t>’</w:t>
      </w:r>
      <w:r w:rsidRPr="000B6220">
        <w:t>ordre public</w:t>
      </w:r>
      <w:r w:rsidR="00BF07DB">
        <w:t>. Elle ajouta</w:t>
      </w:r>
      <w:r w:rsidRPr="000B6220">
        <w:t xml:space="preserve"> que l</w:t>
      </w:r>
      <w:r w:rsidR="002257E9">
        <w:t>’</w:t>
      </w:r>
      <w:r w:rsidRPr="000B6220">
        <w:t>article 9 § 2 de la Convention contenait des restrictions analogues.</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40</w:t>
      </w:r>
      <w:r w:rsidRPr="000B6220">
        <w:fldChar w:fldCharType="end"/>
      </w:r>
      <w:r w:rsidRPr="000B6220">
        <w:t xml:space="preserve">.  Le 22 juillet 2003, le requérant fut libéré sous conditions après avoir purgé </w:t>
      </w:r>
      <w:r w:rsidRPr="000B6220" w:rsidR="00BF07DB">
        <w:t xml:space="preserve">environ </w:t>
      </w:r>
      <w:r w:rsidRPr="000B6220">
        <w:t xml:space="preserve">dix mois et demi </w:t>
      </w:r>
      <w:r w:rsidR="00BF07DB">
        <w:t>de sa peine</w:t>
      </w:r>
      <w:r w:rsidRPr="000B6220">
        <w:t>.</w:t>
      </w:r>
    </w:p>
    <w:p w:rsidRPr="000B6220" w:rsidR="00F27F95" w:rsidP="00E05F30" w:rsidRDefault="00F27F95">
      <w:pPr>
        <w:pStyle w:val="JuHIRoman"/>
      </w:pPr>
      <w:r w:rsidRPr="000B6220">
        <w:t>II.  LE DROIT INTERNE PERTINENT</w:t>
      </w:r>
    </w:p>
    <w:p w:rsidRPr="000B6220" w:rsidR="00F27F95" w:rsidP="00E05F30" w:rsidRDefault="00F27F95">
      <w:pPr>
        <w:pStyle w:val="JuHA"/>
      </w:pPr>
      <w:r w:rsidRPr="000B6220">
        <w:t>A.  La Constitution arménienne de 1995 (avant les amendements introduits en 2005)</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41</w:t>
      </w:r>
      <w:r w:rsidRPr="000B6220">
        <w:fldChar w:fldCharType="end"/>
      </w:r>
      <w:r w:rsidRPr="000B6220">
        <w:t>.  Les dispositions pertinentes de la Constitution étaient ainsi libellées :</w:t>
      </w:r>
    </w:p>
    <w:p w:rsidRPr="000B6220" w:rsidR="00F27F95" w:rsidP="003D18D9" w:rsidRDefault="00F27F95">
      <w:pPr>
        <w:pStyle w:val="JuHArticle"/>
      </w:pPr>
      <w:r w:rsidRPr="000B6220">
        <w:t>Article 23</w:t>
      </w:r>
    </w:p>
    <w:p w:rsidRPr="000B6220" w:rsidR="00F27F95" w:rsidP="00E05F30" w:rsidRDefault="00F27F95">
      <w:pPr>
        <w:pStyle w:val="JuQuot"/>
      </w:pPr>
      <w:r w:rsidRPr="000B6220">
        <w:t>« Toute personne a droit à la liberté de pensée, de conscience et de religion. »</w:t>
      </w:r>
    </w:p>
    <w:p w:rsidRPr="000B6220" w:rsidR="00F27F95" w:rsidP="003D18D9" w:rsidRDefault="00F27F95">
      <w:pPr>
        <w:pStyle w:val="JuHArticle"/>
      </w:pPr>
      <w:r w:rsidRPr="000B6220">
        <w:t>Article 44</w:t>
      </w:r>
    </w:p>
    <w:p w:rsidRPr="000B6220" w:rsidR="00F27F95" w:rsidP="00732252" w:rsidRDefault="00F27F95">
      <w:pPr>
        <w:pStyle w:val="JuQuot"/>
      </w:pPr>
      <w:r w:rsidRPr="000B6220">
        <w:t>« Les libertés et droits fondamentaux de l</w:t>
      </w:r>
      <w:r w:rsidR="002257E9">
        <w:t>’</w:t>
      </w:r>
      <w:r w:rsidRPr="000B6220">
        <w:t>homme et du citoyen consacrés par les articles 23 à 27 de la Constitution ne peuvent être limités par la loi que si cela est nécessaire à la protection de la sécurité de l</w:t>
      </w:r>
      <w:r w:rsidR="002257E9">
        <w:t>’</w:t>
      </w:r>
      <w:r w:rsidRPr="000B6220">
        <w:t>Etat et de la sûreté publique, de l</w:t>
      </w:r>
      <w:r w:rsidR="002257E9">
        <w:t>’</w:t>
      </w:r>
      <w:r w:rsidRPr="000B6220">
        <w:t xml:space="preserve">ordre public, de la santé et de la morale </w:t>
      </w:r>
      <w:r w:rsidRPr="000B6220" w:rsidR="00F45826">
        <w:t>publiques</w:t>
      </w:r>
      <w:r w:rsidRPr="000B6220">
        <w:t xml:space="preserve"> et des droits, des libertés, de l</w:t>
      </w:r>
      <w:r w:rsidR="002257E9">
        <w:t>’</w:t>
      </w:r>
      <w:r w:rsidRPr="000B6220">
        <w:t>honneur et de la réputation d</w:t>
      </w:r>
      <w:r w:rsidR="002257E9">
        <w:t>’</w:t>
      </w:r>
      <w:r w:rsidRPr="000B6220">
        <w:t>autrui. »</w:t>
      </w:r>
    </w:p>
    <w:p w:rsidRPr="000B6220" w:rsidR="00F27F95" w:rsidP="003D18D9" w:rsidRDefault="00F27F95">
      <w:pPr>
        <w:pStyle w:val="JuHArticle"/>
      </w:pPr>
      <w:r w:rsidRPr="000B6220">
        <w:t>Article 47</w:t>
      </w:r>
    </w:p>
    <w:p w:rsidRPr="000B6220" w:rsidR="00F27F95" w:rsidP="00E05F30" w:rsidRDefault="00F27F95">
      <w:pPr>
        <w:pStyle w:val="JuQuot"/>
      </w:pPr>
      <w:r w:rsidRPr="000B6220">
        <w:t>« Tout citoyen est tenu de participer à la défense de la République d</w:t>
      </w:r>
      <w:r w:rsidR="002257E9">
        <w:t>’</w:t>
      </w:r>
      <w:r w:rsidRPr="000B6220">
        <w:t xml:space="preserve">Arménie conformément à </w:t>
      </w:r>
      <w:r w:rsidRPr="000B6220" w:rsidR="007669CB">
        <w:t>la</w:t>
      </w:r>
      <w:r w:rsidRPr="000B6220">
        <w:t xml:space="preserve"> procédure prévue par la loi. »</w:t>
      </w:r>
    </w:p>
    <w:p w:rsidRPr="000B6220" w:rsidR="00F27F95" w:rsidP="00E05F30" w:rsidRDefault="00F27F95">
      <w:pPr>
        <w:pStyle w:val="JuHA"/>
      </w:pPr>
      <w:r w:rsidRPr="000B6220">
        <w:t>B.  Le code pénal de 1961 (</w:t>
      </w:r>
      <w:r w:rsidR="00985BA0">
        <w:t>abrogé</w:t>
      </w:r>
      <w:r w:rsidRPr="000B6220">
        <w:t xml:space="preserve"> le 1</w:t>
      </w:r>
      <w:r w:rsidRPr="000B6220">
        <w:rPr>
          <w:vertAlign w:val="superscript"/>
        </w:rPr>
        <w:t>er</w:t>
      </w:r>
      <w:r w:rsidRPr="000B6220" w:rsidR="00F45826">
        <w:t xml:space="preserve"> août 2003)</w:t>
      </w:r>
    </w:p>
    <w:p w:rsidRPr="000B6220" w:rsidR="00F27F95" w:rsidP="00E05F30" w:rsidRDefault="00F27F95">
      <w:pPr>
        <w:pStyle w:val="JuPara"/>
      </w:pPr>
      <w:r w:rsidRPr="00E25BA1">
        <w:fldChar w:fldCharType="begin"/>
      </w:r>
      <w:r w:rsidRPr="00E25BA1">
        <w:instrText xml:space="preserve"> SEQ level0 \*arabic </w:instrText>
      </w:r>
      <w:r w:rsidRPr="00E25BA1">
        <w:fldChar w:fldCharType="separate"/>
      </w:r>
      <w:r w:rsidR="00226498">
        <w:rPr>
          <w:noProof/>
        </w:rPr>
        <w:t>42</w:t>
      </w:r>
      <w:r w:rsidRPr="00E25BA1">
        <w:fldChar w:fldCharType="end"/>
      </w:r>
      <w:r w:rsidR="00270037">
        <w:t>.  La disposition pertinente du code pénal était rédigée</w:t>
      </w:r>
      <w:r w:rsidRPr="00E25BA1">
        <w:t xml:space="preserve"> ainsi :</w:t>
      </w:r>
    </w:p>
    <w:p w:rsidRPr="000B6220" w:rsidR="00F27F95" w:rsidP="003E0DD5" w:rsidRDefault="00F27F95">
      <w:pPr>
        <w:pStyle w:val="JuHArticle"/>
      </w:pPr>
      <w:r w:rsidRPr="000B6220">
        <w:t>Article 75 – Non-respect d</w:t>
      </w:r>
      <w:r w:rsidR="002257E9">
        <w:t>’</w:t>
      </w:r>
      <w:r w:rsidRPr="000B6220">
        <w:t>un appel régulier sous les drapeaux</w:t>
      </w:r>
    </w:p>
    <w:p w:rsidRPr="000B6220" w:rsidR="00F27F95" w:rsidP="00E05F30" w:rsidRDefault="00F27F95">
      <w:pPr>
        <w:pStyle w:val="JuQuot"/>
      </w:pPr>
      <w:r w:rsidRPr="000B6220">
        <w:t>« Le non-respect d</w:t>
      </w:r>
      <w:r w:rsidR="002257E9">
        <w:t>’</w:t>
      </w:r>
      <w:r w:rsidRPr="000B6220">
        <w:t>un appel régulier sous les drapeaux est passible d</w:t>
      </w:r>
      <w:r w:rsidR="002257E9">
        <w:t>’</w:t>
      </w:r>
      <w:r w:rsidRPr="000B6220">
        <w:t>une peine de un à trois ans</w:t>
      </w:r>
      <w:r w:rsidRPr="00E25BA1" w:rsidR="00E25BA1">
        <w:t xml:space="preserve"> </w:t>
      </w:r>
      <w:r w:rsidRPr="000B6220" w:rsidR="00E25BA1">
        <w:t>d</w:t>
      </w:r>
      <w:r w:rsidR="002257E9">
        <w:t>’</w:t>
      </w:r>
      <w:r w:rsidRPr="000B6220" w:rsidR="00E25BA1">
        <w:t>emprisonnement</w:t>
      </w:r>
      <w:r w:rsidRPr="000B6220">
        <w:t>. »</w:t>
      </w:r>
    </w:p>
    <w:p w:rsidRPr="000B6220" w:rsidR="00F27F95" w:rsidP="00E05F30" w:rsidRDefault="00F27F95">
      <w:pPr>
        <w:pStyle w:val="JuHA"/>
      </w:pPr>
      <w:r w:rsidRPr="000B6220">
        <w:t>C.  La loi sur les obligations militaires</w:t>
      </w:r>
      <w:r w:rsidRPr="000B6220" w:rsidR="00F45826">
        <w:t xml:space="preserve"> (en vigueur depuis le 16 octobre 1998)</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43</w:t>
      </w:r>
      <w:r w:rsidRPr="000B6220">
        <w:fldChar w:fldCharType="end"/>
      </w:r>
      <w:r w:rsidRPr="000B6220">
        <w:t>.  Les dispositions pertinentes de la loi sur les obligations militaires se lisent ainsi :</w:t>
      </w:r>
    </w:p>
    <w:p w:rsidRPr="000B6220" w:rsidR="00F45826" w:rsidP="00E25BA1" w:rsidRDefault="00F45826">
      <w:pPr>
        <w:pStyle w:val="JuHArticle"/>
      </w:pPr>
      <w:r w:rsidRPr="000B6220">
        <w:t xml:space="preserve">Article 3 – </w:t>
      </w:r>
      <w:r w:rsidRPr="000B6220" w:rsidR="007669CB">
        <w:t>Obligations militaires</w:t>
      </w:r>
    </w:p>
    <w:p w:rsidR="00732252" w:rsidP="00732252" w:rsidRDefault="007669CB">
      <w:pPr>
        <w:pStyle w:val="JuQuot"/>
      </w:pPr>
      <w:r w:rsidRPr="000B6220">
        <w:t xml:space="preserve">« 1.  Les obligations militaires désignent le devoir </w:t>
      </w:r>
      <w:r w:rsidR="00E25BA1">
        <w:t xml:space="preserve">constitutionnel </w:t>
      </w:r>
      <w:r w:rsidRPr="000B6220">
        <w:t>pour les citoyens de participer à la défense de la République d</w:t>
      </w:r>
      <w:r w:rsidR="002257E9">
        <w:t>’</w:t>
      </w:r>
      <w:r w:rsidRPr="000B6220">
        <w:t>Arménie. »</w:t>
      </w:r>
    </w:p>
    <w:p w:rsidR="00732252" w:rsidP="00732252" w:rsidRDefault="00732252">
      <w:pPr>
        <w:pStyle w:val="JuHArticle"/>
      </w:pPr>
      <w:r w:rsidRPr="000B6220">
        <w:t xml:space="preserve"> </w:t>
      </w:r>
      <w:r w:rsidRPr="000B6220" w:rsidR="00F45826">
        <w:t xml:space="preserve">Article 11 – </w:t>
      </w:r>
      <w:r w:rsidRPr="000B6220" w:rsidR="00F27F95">
        <w:t>Service militaire obligatoire</w:t>
      </w:r>
    </w:p>
    <w:p w:rsidRPr="000B6220" w:rsidR="00F27F95" w:rsidP="00732252" w:rsidRDefault="00F27F95">
      <w:pPr>
        <w:pStyle w:val="JuQuot"/>
      </w:pPr>
      <w:r w:rsidRPr="000B6220">
        <w:t>« 1.  Les conscrits de sexe masculin et les officiers de réserve de première catégorie âgés de 18 à 27 ans [et] jugés physiquement aptes au service militaire en temps de paix sont appelés pour effectuer leur service militaire obligatoire. »</w:t>
      </w:r>
    </w:p>
    <w:p w:rsidRPr="003D18D9" w:rsidR="00F27F95" w:rsidP="00E40C8E" w:rsidRDefault="00F27F95">
      <w:pPr>
        <w:pStyle w:val="JuHArticle"/>
      </w:pPr>
      <w:r w:rsidRPr="003D18D9">
        <w:rPr>
          <w:rStyle w:val="JuHArticleChar"/>
          <w:i w:val="0"/>
          <w:sz w:val="20"/>
        </w:rPr>
        <w:t>Article 12 – E</w:t>
      </w:r>
      <w:r w:rsidRPr="003D18D9">
        <w:t>xemption du service militaire obligatoire</w:t>
      </w:r>
    </w:p>
    <w:p w:rsidRPr="000B6220" w:rsidR="00F27F95" w:rsidP="00732252" w:rsidRDefault="00F27F95">
      <w:pPr>
        <w:pStyle w:val="JuQuot"/>
      </w:pPr>
      <w:r w:rsidRPr="000B6220">
        <w:t>« 1.  [Un citoyen] peut être exempté du service militaire obligatoire : a) si la commission nationale de recrutement reconnaît qu</w:t>
      </w:r>
      <w:r w:rsidR="002257E9">
        <w:t>’</w:t>
      </w:r>
      <w:r w:rsidRPr="000B6220">
        <w:t>il n</w:t>
      </w:r>
      <w:r w:rsidR="002257E9">
        <w:t>’</w:t>
      </w:r>
      <w:r w:rsidRPr="000B6220">
        <w:t>est pas apte au service militaire en raison de sa mauvaise santé et le radie du rôle de l</w:t>
      </w:r>
      <w:r w:rsidR="002257E9">
        <w:t>’</w:t>
      </w:r>
      <w:r w:rsidRPr="000B6220">
        <w:t>armée ; b) si son père (s</w:t>
      </w:r>
      <w:r w:rsidRPr="000B6220" w:rsidR="007669CB">
        <w:t xml:space="preserve">a mère) ou son frère (sa sœur) </w:t>
      </w:r>
      <w:r w:rsidRPr="000B6220">
        <w:t xml:space="preserve">ont </w:t>
      </w:r>
      <w:r w:rsidRPr="000B6220" w:rsidR="007669CB">
        <w:t xml:space="preserve">trouvé la </w:t>
      </w:r>
      <w:r w:rsidR="00C01626">
        <w:t>mort a</w:t>
      </w:r>
      <w:r w:rsidRPr="000B6220">
        <w:t>lors qu</w:t>
      </w:r>
      <w:r w:rsidR="002257E9">
        <w:t>’</w:t>
      </w:r>
      <w:r w:rsidRPr="000B6220">
        <w:t>ils défendaient l</w:t>
      </w:r>
      <w:r w:rsidR="002257E9">
        <w:t>’</w:t>
      </w:r>
      <w:r w:rsidRPr="000B6220">
        <w:t>Arménie ou servaient dans les forces armées et autres troupes [arméniennes], et qu</w:t>
      </w:r>
      <w:r w:rsidR="002257E9">
        <w:t>’</w:t>
      </w:r>
      <w:r w:rsidRPr="000B6220">
        <w:t xml:space="preserve">il est le seul enfant </w:t>
      </w:r>
      <w:r w:rsidR="003D18D9">
        <w:t>de sexe masculin</w:t>
      </w:r>
      <w:r w:rsidRPr="000B6220">
        <w:t xml:space="preserve"> de</w:t>
      </w:r>
      <w:r w:rsidR="003D18D9">
        <w:t xml:space="preserve"> la famille ; c) par décret du g</w:t>
      </w:r>
      <w:r w:rsidRPr="000B6220">
        <w:t>ouvernement ; d) s</w:t>
      </w:r>
      <w:r w:rsidR="002257E9">
        <w:t>’</w:t>
      </w:r>
      <w:r w:rsidRPr="000B6220">
        <w:t>il a effectué son service militaire obligatoire dans une armée étrangère avant d</w:t>
      </w:r>
      <w:r w:rsidR="002257E9">
        <w:t>’</w:t>
      </w:r>
      <w:r w:rsidRPr="000B6220">
        <w:t>acquérir la nationalité arménienne ; ou e) s</w:t>
      </w:r>
      <w:r w:rsidR="002257E9">
        <w:t>’</w:t>
      </w:r>
      <w:r w:rsidRPr="000B6220">
        <w:t>il possède un diplôme en sciences (maîtrise ou doctorat ès sciences) et mène des activités spécialisées, scientifiques ou éducatives. »</w:t>
      </w:r>
    </w:p>
    <w:p w:rsidRPr="000B6220" w:rsidR="00F27F95" w:rsidP="003D18D9" w:rsidRDefault="00F27F95">
      <w:pPr>
        <w:pStyle w:val="JuHArticle"/>
      </w:pPr>
      <w:r w:rsidRPr="000B6220">
        <w:t>Article 16 – Sursis d</w:t>
      </w:r>
      <w:r w:rsidR="002257E9">
        <w:t>’</w:t>
      </w:r>
      <w:r w:rsidRPr="000B6220">
        <w:t>incorporation pour d</w:t>
      </w:r>
      <w:r w:rsidR="002257E9">
        <w:t>’</w:t>
      </w:r>
      <w:r w:rsidRPr="000B6220">
        <w:t>autres motifs</w:t>
      </w:r>
    </w:p>
    <w:p w:rsidRPr="000B6220" w:rsidR="00F27F95" w:rsidP="00732252" w:rsidRDefault="007E33B5">
      <w:pPr>
        <w:pStyle w:val="JuQuot"/>
      </w:pPr>
      <w:r>
        <w:t>« 2.  Dans certains cas, le g</w:t>
      </w:r>
      <w:r w:rsidRPr="000B6220" w:rsidR="00F27F95">
        <w:t xml:space="preserve">ouvernement </w:t>
      </w:r>
      <w:r w:rsidRPr="000B6220" w:rsidR="00F45826">
        <w:t>peut définir</w:t>
      </w:r>
      <w:r w:rsidRPr="000B6220" w:rsidR="00F27F95">
        <w:t xml:space="preserve"> des catégories de citoyens et d</w:t>
      </w:r>
      <w:r w:rsidR="002257E9">
        <w:t>’</w:t>
      </w:r>
      <w:r w:rsidRPr="000B6220" w:rsidR="00F27F95">
        <w:t>individus particuliers qui peuvent bénéficier d</w:t>
      </w:r>
      <w:r w:rsidR="002257E9">
        <w:t>’</w:t>
      </w:r>
      <w:r w:rsidRPr="000B6220" w:rsidR="00F27F95">
        <w:t>un sursis à l</w:t>
      </w:r>
      <w:r w:rsidR="002257E9">
        <w:t>’</w:t>
      </w:r>
      <w:r w:rsidRPr="000B6220" w:rsidR="00F27F95">
        <w:t>incorporation au service militaire obligatoire. »</w:t>
      </w:r>
    </w:p>
    <w:p w:rsidRPr="000B6220" w:rsidR="00F27F95" w:rsidP="00E05F30" w:rsidRDefault="00F27F95">
      <w:pPr>
        <w:pStyle w:val="JuHA"/>
      </w:pPr>
      <w:r w:rsidRPr="000B6220">
        <w:t>D.  La loi sur la liberté de conscience et les organisations religieuses</w:t>
      </w:r>
      <w:r w:rsidRPr="000B6220" w:rsidR="00F45826">
        <w:t xml:space="preserve"> (en vigueur depuis le 6 juillet 1991)</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44</w:t>
      </w:r>
      <w:r w:rsidRPr="000B6220">
        <w:fldChar w:fldCharType="end"/>
      </w:r>
      <w:r w:rsidRPr="000B6220">
        <w:t>.  Les dispositions pertinentes de la loi sur la liberté de conscience et les organisations religieuses sont ainsi libellées :</w:t>
      </w:r>
    </w:p>
    <w:p w:rsidRPr="000B6220" w:rsidR="00D10E00" w:rsidP="004B32C8" w:rsidRDefault="00D10E00">
      <w:pPr>
        <w:pStyle w:val="JuHArticle"/>
      </w:pPr>
      <w:r w:rsidRPr="000B6220">
        <w:t>Préambule</w:t>
      </w:r>
    </w:p>
    <w:p w:rsidRPr="000B6220" w:rsidR="00D10E00" w:rsidP="00E05F30" w:rsidRDefault="006A05BB">
      <w:pPr>
        <w:pStyle w:val="JuQuot"/>
      </w:pPr>
      <w:r w:rsidRPr="000B6220">
        <w:t>« Le Soviet suprême de la République d</w:t>
      </w:r>
      <w:r w:rsidR="002257E9">
        <w:t>’</w:t>
      </w:r>
      <w:r w:rsidRPr="000B6220">
        <w:t>Arménie adopte la présente loi sur la liberté de conscience et les organisations religieuses (</w:t>
      </w:r>
      <w:r w:rsidR="00E40C8E">
        <w:t>...</w:t>
      </w:r>
      <w:r w:rsidRPr="000B6220">
        <w:t>) en s</w:t>
      </w:r>
      <w:r w:rsidR="002257E9">
        <w:t>’</w:t>
      </w:r>
      <w:r w:rsidRPr="000B6220">
        <w:t>inspirant des principes des droits de l</w:t>
      </w:r>
      <w:r w:rsidR="002257E9">
        <w:t>’</w:t>
      </w:r>
      <w:r w:rsidRPr="000B6220">
        <w:t xml:space="preserve">homme et des libertés fondamentales établis en droit international et </w:t>
      </w:r>
      <w:r w:rsidRPr="000B6220" w:rsidR="007669CB">
        <w:t xml:space="preserve">dans le respect fidèle des </w:t>
      </w:r>
      <w:r w:rsidRPr="000B6220">
        <w:t>dispositions de l</w:t>
      </w:r>
      <w:r w:rsidR="002257E9">
        <w:t>’</w:t>
      </w:r>
      <w:r w:rsidRPr="000B6220">
        <w:t>article 18 du Pacte international relatif aux d</w:t>
      </w:r>
      <w:r w:rsidRPr="000B6220" w:rsidR="007669CB">
        <w:t>roits civils et politiques (</w:t>
      </w:r>
      <w:r w:rsidR="00E40C8E">
        <w:t>...</w:t>
      </w:r>
      <w:r w:rsidRPr="000B6220" w:rsidR="007669CB">
        <w:t>)</w:t>
      </w:r>
      <w:r w:rsidRPr="000B6220">
        <w:t> »</w:t>
      </w:r>
    </w:p>
    <w:p w:rsidRPr="000B6220" w:rsidR="00F27F95" w:rsidP="004B32C8" w:rsidRDefault="00F27F95">
      <w:pPr>
        <w:pStyle w:val="JuHArticle"/>
      </w:pPr>
      <w:r w:rsidRPr="000B6220">
        <w:t>Article 19</w:t>
      </w:r>
    </w:p>
    <w:p w:rsidRPr="000B6220" w:rsidR="00F27F95" w:rsidP="00E05F30" w:rsidRDefault="00F27F95">
      <w:pPr>
        <w:pStyle w:val="JuQuot"/>
      </w:pPr>
      <w:r w:rsidRPr="000B6220">
        <w:t xml:space="preserve">« Toutes les obligations civiques </w:t>
      </w:r>
      <w:r w:rsidRPr="000B6220" w:rsidR="007669CB">
        <w:t>prévues</w:t>
      </w:r>
      <w:r w:rsidRPr="000B6220">
        <w:t xml:space="preserve"> par la loi s</w:t>
      </w:r>
      <w:r w:rsidR="002257E9">
        <w:t>’</w:t>
      </w:r>
      <w:r w:rsidRPr="000B6220">
        <w:t xml:space="preserve">appliquent </w:t>
      </w:r>
      <w:r w:rsidR="004B32C8">
        <w:t xml:space="preserve">de manière </w:t>
      </w:r>
      <w:r w:rsidR="00B559A7">
        <w:t>égale</w:t>
      </w:r>
      <w:r w:rsidRPr="000B6220">
        <w:t xml:space="preserve"> aux croyants </w:t>
      </w:r>
      <w:r w:rsidRPr="000B6220" w:rsidR="007669CB">
        <w:t xml:space="preserve">membres </w:t>
      </w:r>
      <w:r w:rsidRPr="000B6220">
        <w:t>d</w:t>
      </w:r>
      <w:r w:rsidR="002257E9">
        <w:t>’</w:t>
      </w:r>
      <w:r w:rsidRPr="000B6220">
        <w:t xml:space="preserve">organisations religieuses </w:t>
      </w:r>
      <w:r w:rsidR="00233AD6">
        <w:t xml:space="preserve">et </w:t>
      </w:r>
      <w:r w:rsidRPr="000B6220">
        <w:t>aux autres citoyens.</w:t>
      </w:r>
    </w:p>
    <w:p w:rsidRPr="000B6220" w:rsidR="00F27F95" w:rsidP="00E05F30" w:rsidRDefault="00F27F95">
      <w:pPr>
        <w:pStyle w:val="JuQuot"/>
      </w:pPr>
      <w:r w:rsidRPr="000B6220">
        <w:t>Dans certains cas particuliers de contradiction entre les obligations civiques et les convictions religieuses, la question du respect des obligations civiques peut se résoudre au moyen d</w:t>
      </w:r>
      <w:r w:rsidR="002257E9">
        <w:t>’</w:t>
      </w:r>
      <w:r w:rsidRPr="000B6220">
        <w:t xml:space="preserve">un </w:t>
      </w:r>
      <w:r w:rsidRPr="000B6220" w:rsidR="0050222B">
        <w:t>régime</w:t>
      </w:r>
      <w:r w:rsidRPr="000B6220">
        <w:t xml:space="preserve"> de remplacement, suivant la procédure prévue par la loi, grâce à un accord mutuel entre l</w:t>
      </w:r>
      <w:r w:rsidR="002257E9">
        <w:t>’</w:t>
      </w:r>
      <w:r w:rsidRPr="000B6220">
        <w:t>autorité de l</w:t>
      </w:r>
      <w:r w:rsidR="002257E9">
        <w:t>’</w:t>
      </w:r>
      <w:r w:rsidRPr="000B6220">
        <w:t>Etat compétente et l</w:t>
      </w:r>
      <w:r w:rsidR="002257E9">
        <w:t>’</w:t>
      </w:r>
      <w:r w:rsidRPr="000B6220">
        <w:t>organisation religieuse concernée. »</w:t>
      </w:r>
    </w:p>
    <w:p w:rsidRPr="000B6220" w:rsidR="00F27F95" w:rsidP="00E05F30" w:rsidRDefault="00F27F95">
      <w:pPr>
        <w:pStyle w:val="JuHA"/>
      </w:pPr>
      <w:r w:rsidRPr="000B6220">
        <w:t xml:space="preserve">E.  La loi sur le service de remplacement </w:t>
      </w:r>
      <w:r w:rsidRPr="000B6220" w:rsidR="00D10E00">
        <w:t>(</w:t>
      </w:r>
      <w:r w:rsidR="00C27424">
        <w:t xml:space="preserve">adoptée le 17 décembre </w:t>
      </w:r>
      <w:r w:rsidRPr="000B6220">
        <w:t>2003 et entrée en vigueur le 1</w:t>
      </w:r>
      <w:r w:rsidRPr="000B6220">
        <w:rPr>
          <w:vertAlign w:val="superscript"/>
        </w:rPr>
        <w:t>er</w:t>
      </w:r>
      <w:r w:rsidRPr="000B6220">
        <w:t xml:space="preserve"> juillet 2004</w:t>
      </w:r>
      <w:r w:rsidRPr="000B6220" w:rsidR="00D10E00">
        <w:t>)</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45</w:t>
      </w:r>
      <w:r w:rsidRPr="000B6220">
        <w:fldChar w:fldCharType="end"/>
      </w:r>
      <w:r w:rsidRPr="000B6220">
        <w:t>.  Les dispositions pertinentes de la loi, comprenant les amendements qui y ont été apportés le 22 novembre 2004, se lisent ainsi :</w:t>
      </w:r>
    </w:p>
    <w:p w:rsidRPr="000B6220" w:rsidR="00F27F95" w:rsidP="00B559A7" w:rsidRDefault="0071097B">
      <w:pPr>
        <w:pStyle w:val="JuHArticle"/>
      </w:pPr>
      <w:r>
        <w:t>Article 2</w:t>
      </w:r>
      <w:r>
        <w:br/>
      </w:r>
      <w:r w:rsidRPr="000B6220" w:rsidR="00F27F95">
        <w:t>Définition du service de r</w:t>
      </w:r>
      <w:r w:rsidRPr="000B6220" w:rsidR="00737017">
        <w:t>emplacement et types de service</w:t>
      </w:r>
      <w:r w:rsidRPr="000B6220" w:rsidR="00F27F95">
        <w:t xml:space="preserve"> de remplacement</w:t>
      </w:r>
    </w:p>
    <w:p w:rsidRPr="000B6220" w:rsidR="00F27F95" w:rsidP="00E05F30" w:rsidRDefault="00F27F95">
      <w:pPr>
        <w:pStyle w:val="JuQuot"/>
      </w:pPr>
      <w:r w:rsidRPr="000B6220">
        <w:t>« 1.  </w:t>
      </w:r>
      <w:r w:rsidR="00233A5D">
        <w:t>Aux fins de</w:t>
      </w:r>
      <w:r w:rsidRPr="000B6220" w:rsidR="00233A5D">
        <w:t xml:space="preserve"> la présente loi on entend </w:t>
      </w:r>
      <w:r w:rsidR="00233A5D">
        <w:t>p</w:t>
      </w:r>
      <w:r w:rsidRPr="000B6220">
        <w:t>ar service de remplacement un service qui remplace le service militaire obligatoire d</w:t>
      </w:r>
      <w:r w:rsidR="002257E9">
        <w:t>’</w:t>
      </w:r>
      <w:r w:rsidRPr="000B6220">
        <w:t xml:space="preserve">une durée fixe, </w:t>
      </w:r>
      <w:r w:rsidR="00233A5D">
        <w:t xml:space="preserve">qui </w:t>
      </w:r>
      <w:r w:rsidRPr="000B6220">
        <w:t xml:space="preserve">ne nécessite pas de porter, </w:t>
      </w:r>
      <w:r w:rsidR="00233A5D">
        <w:t xml:space="preserve">de </w:t>
      </w:r>
      <w:r w:rsidRPr="000B6220">
        <w:t xml:space="preserve">conserver, </w:t>
      </w:r>
      <w:r w:rsidR="00233A5D">
        <w:t>d</w:t>
      </w:r>
      <w:r w:rsidR="002257E9">
        <w:t>’</w:t>
      </w:r>
      <w:r w:rsidRPr="000B6220">
        <w:t xml:space="preserve">entretenir et </w:t>
      </w:r>
      <w:r w:rsidR="00233A5D">
        <w:t>d</w:t>
      </w:r>
      <w:r w:rsidR="002257E9">
        <w:t>’</w:t>
      </w:r>
      <w:r w:rsidRPr="000B6220">
        <w:t xml:space="preserve">utiliser des armes et est effectué </w:t>
      </w:r>
      <w:r w:rsidR="00233AD6">
        <w:t xml:space="preserve">aussi bien </w:t>
      </w:r>
      <w:r w:rsidRPr="000B6220">
        <w:t xml:space="preserve">dans des institutions militaires que </w:t>
      </w:r>
      <w:r w:rsidR="00233AD6">
        <w:t xml:space="preserve">dans des institutions </w:t>
      </w:r>
      <w:r w:rsidRPr="000B6220">
        <w:t>civiles.</w:t>
      </w:r>
    </w:p>
    <w:p w:rsidRPr="000B6220" w:rsidR="00F27F95" w:rsidP="00E05F30" w:rsidRDefault="00F27F95">
      <w:pPr>
        <w:pStyle w:val="JuQuot"/>
      </w:pPr>
      <w:r w:rsidRPr="000B6220">
        <w:t xml:space="preserve">2.  Les différents types de service de remplacement sont : a) le service militaire de remplacement, </w:t>
      </w:r>
      <w:r w:rsidR="00D410EC">
        <w:t>c</w:t>
      </w:r>
      <w:r w:rsidR="002257E9">
        <w:t>’</w:t>
      </w:r>
      <w:r w:rsidR="00D410EC">
        <w:t>est-à-dire</w:t>
      </w:r>
      <w:r w:rsidRPr="000B6220">
        <w:t xml:space="preserve"> le service militaire effectué dans l</w:t>
      </w:r>
      <w:r w:rsidR="002257E9">
        <w:t>’</w:t>
      </w:r>
      <w:r w:rsidRPr="000B6220">
        <w:t xml:space="preserve">armée arménienne sans obligation de combattre ni de porter, conserver, entretenir et utiliser des armes ; et b) le service de travail </w:t>
      </w:r>
      <w:r w:rsidRPr="000B6220" w:rsidR="00737017">
        <w:t>de remplacement</w:t>
      </w:r>
      <w:r w:rsidRPr="000B6220">
        <w:t xml:space="preserve">, </w:t>
      </w:r>
      <w:r w:rsidR="00D410EC">
        <w:t>c</w:t>
      </w:r>
      <w:r w:rsidR="002257E9">
        <w:t>’</w:t>
      </w:r>
      <w:r w:rsidR="00D410EC">
        <w:t>est-à-dire</w:t>
      </w:r>
      <w:r w:rsidRPr="000B6220" w:rsidR="00D410EC">
        <w:t xml:space="preserve"> </w:t>
      </w:r>
      <w:r w:rsidRPr="000B6220">
        <w:t>le service de travail effectué en dehors de l</w:t>
      </w:r>
      <w:r w:rsidR="002257E9">
        <w:t>’</w:t>
      </w:r>
      <w:r w:rsidRPr="000B6220">
        <w:t>armée arménienne.</w:t>
      </w:r>
    </w:p>
    <w:p w:rsidRPr="000B6220" w:rsidR="00F27F95" w:rsidP="00E05F30" w:rsidRDefault="00F27F95">
      <w:pPr>
        <w:pStyle w:val="JuQuot"/>
      </w:pPr>
      <w:r w:rsidRPr="000B6220">
        <w:t>3.  Le but du service de remplacement est d</w:t>
      </w:r>
      <w:r w:rsidR="002257E9">
        <w:t>’</w:t>
      </w:r>
      <w:r w:rsidRPr="000B6220">
        <w:t>assurer que soit remplie l</w:t>
      </w:r>
      <w:r w:rsidR="002257E9">
        <w:t>’</w:t>
      </w:r>
      <w:r w:rsidRPr="000B6220">
        <w:t>obligation civique envers la patrie et la société ; pareil service n</w:t>
      </w:r>
      <w:r w:rsidR="002257E9">
        <w:t>’</w:t>
      </w:r>
      <w:r w:rsidRPr="000B6220">
        <w:t xml:space="preserve">a aucun caractère punitif, </w:t>
      </w:r>
      <w:r w:rsidRPr="000B6220" w:rsidR="00737017">
        <w:t>humiliant</w:t>
      </w:r>
      <w:r w:rsidRPr="000B6220">
        <w:t xml:space="preserve"> ou dégradant. »</w:t>
      </w:r>
    </w:p>
    <w:p w:rsidRPr="000B6220" w:rsidR="00F27F95" w:rsidP="00B559A7" w:rsidRDefault="0071097B">
      <w:pPr>
        <w:pStyle w:val="JuHArticle"/>
      </w:pPr>
      <w:r>
        <w:t>Article 3</w:t>
      </w:r>
      <w:r>
        <w:br/>
      </w:r>
      <w:r w:rsidRPr="000B6220" w:rsidR="00F27F95">
        <w:t>Motifs d</w:t>
      </w:r>
      <w:r w:rsidR="002257E9">
        <w:t>’</w:t>
      </w:r>
      <w:r w:rsidRPr="000B6220" w:rsidR="00F27F95">
        <w:t>effectuer un service de remplacement</w:t>
      </w:r>
    </w:p>
    <w:p w:rsidRPr="000B6220" w:rsidR="00F27F95" w:rsidP="005618BF" w:rsidRDefault="00F27F95">
      <w:pPr>
        <w:pStyle w:val="JuQuot"/>
      </w:pPr>
      <w:r w:rsidRPr="000B6220">
        <w:t xml:space="preserve">« 1.  Un citoyen arménien </w:t>
      </w:r>
      <w:r w:rsidRPr="000B6220" w:rsidR="0050222B">
        <w:t>qu</w:t>
      </w:r>
      <w:r w:rsidR="00040D9B">
        <w:t>i en raison de</w:t>
      </w:r>
      <w:r w:rsidRPr="000B6220" w:rsidR="00737017">
        <w:t xml:space="preserve"> sa foi ou </w:t>
      </w:r>
      <w:r w:rsidR="00040D9B">
        <w:t xml:space="preserve">de </w:t>
      </w:r>
      <w:r w:rsidRPr="000B6220" w:rsidR="00737017">
        <w:t>s</w:t>
      </w:r>
      <w:r w:rsidRPr="000B6220">
        <w:t xml:space="preserve">es convictions religieuses </w:t>
      </w:r>
      <w:r w:rsidR="00040D9B">
        <w:t>ne peut</w:t>
      </w:r>
      <w:r w:rsidRPr="000B6220" w:rsidR="0050222B">
        <w:t xml:space="preserve"> pas </w:t>
      </w:r>
      <w:r w:rsidRPr="000B6220">
        <w:t>effectuer le service militaire dans une unité militaire</w:t>
      </w:r>
      <w:r w:rsidRPr="000B6220" w:rsidR="00737017">
        <w:t>,</w:t>
      </w:r>
      <w:r w:rsidRPr="000B6220">
        <w:t xml:space="preserve"> et notamment porter, conserver, entretenir et utiliser des armes</w:t>
      </w:r>
      <w:r w:rsidRPr="000B6220" w:rsidR="00737017">
        <w:t>,</w:t>
      </w:r>
      <w:r w:rsidRPr="000B6220">
        <w:t xml:space="preserve"> peut effectuer un service de remplacement. »</w:t>
      </w:r>
    </w:p>
    <w:p w:rsidRPr="000B6220" w:rsidR="00D10E00" w:rsidP="00E05F30" w:rsidRDefault="00F27F95">
      <w:pPr>
        <w:pStyle w:val="JuHIRoman"/>
      </w:pPr>
      <w:r w:rsidRPr="000B6220">
        <w:t>III.  </w:t>
      </w:r>
      <w:r w:rsidRPr="000B6220" w:rsidR="00D10E00">
        <w:t>DROIT COMPARÉ</w:t>
      </w:r>
    </w:p>
    <w:p w:rsidRPr="000B6220" w:rsidR="00371672" w:rsidP="00E05F30" w:rsidRDefault="00D10E00">
      <w:pPr>
        <w:pStyle w:val="JuPara"/>
      </w:pPr>
      <w:r w:rsidRPr="000B6220">
        <w:fldChar w:fldCharType="begin"/>
      </w:r>
      <w:r w:rsidRPr="000B6220">
        <w:instrText xml:space="preserve"> SEQ level0 \*arabic </w:instrText>
      </w:r>
      <w:r w:rsidRPr="000B6220">
        <w:fldChar w:fldCharType="separate"/>
      </w:r>
      <w:r w:rsidR="00226498">
        <w:rPr>
          <w:noProof/>
        </w:rPr>
        <w:t>46</w:t>
      </w:r>
      <w:r w:rsidRPr="000B6220">
        <w:fldChar w:fldCharType="end"/>
      </w:r>
      <w:r w:rsidRPr="000B6220">
        <w:t>.  </w:t>
      </w:r>
      <w:r w:rsidRPr="000B6220" w:rsidR="00371672">
        <w:t xml:space="preserve">Il </w:t>
      </w:r>
      <w:r w:rsidRPr="000B6220" w:rsidR="00737017">
        <w:t>ressort</w:t>
      </w:r>
      <w:r w:rsidRPr="000B6220" w:rsidR="00371672">
        <w:t xml:space="preserve"> des </w:t>
      </w:r>
      <w:r w:rsidRPr="000B6220" w:rsidR="00737017">
        <w:t>informations</w:t>
      </w:r>
      <w:r w:rsidRPr="000B6220" w:rsidR="00371672">
        <w:t xml:space="preserve"> dont la Cour </w:t>
      </w:r>
      <w:r w:rsidRPr="000B6220" w:rsidR="00233AD6">
        <w:t xml:space="preserve">dispose </w:t>
      </w:r>
      <w:r w:rsidRPr="000B6220" w:rsidR="00371672">
        <w:t>sur la législation des Etats membres du Conseil de l</w:t>
      </w:r>
      <w:r w:rsidR="002257E9">
        <w:t>’</w:t>
      </w:r>
      <w:r w:rsidRPr="000B6220" w:rsidR="00371672">
        <w:t xml:space="preserve">Europe que la quasi-totalité de ceux </w:t>
      </w:r>
      <w:r w:rsidR="00040D9B">
        <w:t xml:space="preserve">où existait ou existe encore </w:t>
      </w:r>
      <w:r w:rsidRPr="000B6220" w:rsidR="00371672">
        <w:t>un service militaire obligatoire ont à différents moments adopté des lois reconnaissant et mettant en œuvre le droit à l</w:t>
      </w:r>
      <w:r w:rsidR="002257E9">
        <w:t>’</w:t>
      </w:r>
      <w:r w:rsidRPr="000B6220" w:rsidR="00371672">
        <w:t xml:space="preserve">objection de conscience, avant même leur </w:t>
      </w:r>
      <w:r w:rsidRPr="000B6220" w:rsidR="00737017">
        <w:t>adhésion</w:t>
      </w:r>
      <w:r w:rsidRPr="000B6220" w:rsidR="00371672">
        <w:t xml:space="preserve"> au Conseil de l</w:t>
      </w:r>
      <w:r w:rsidR="002257E9">
        <w:t>’</w:t>
      </w:r>
      <w:r w:rsidRPr="000B6220" w:rsidR="00371672">
        <w:t>Europe pour ce</w:t>
      </w:r>
      <w:r w:rsidRPr="000B6220" w:rsidR="0050222B">
        <w:t>rtains. Le premier Etat membre à</w:t>
      </w:r>
      <w:r w:rsidRPr="000B6220" w:rsidR="00371672">
        <w:t xml:space="preserve"> l</w:t>
      </w:r>
      <w:r w:rsidR="002257E9">
        <w:t>’</w:t>
      </w:r>
      <w:r w:rsidRPr="000B6220" w:rsidR="00371672">
        <w:t>avoir fait est le Royaume-Uni (1916), suivi du Danemark (1917), de la S</w:t>
      </w:r>
      <w:r w:rsidR="00160064">
        <w:t>uède (1920), des Pays-Bas (1920</w:t>
      </w:r>
      <w:r w:rsidR="00160064">
        <w:noBreakHyphen/>
      </w:r>
      <w:r w:rsidRPr="000B6220" w:rsidR="00371672">
        <w:t>1923), de la Norvège (1922), de la Finlande (1931), de l</w:t>
      </w:r>
      <w:r w:rsidR="002257E9">
        <w:t>’</w:t>
      </w:r>
      <w:r w:rsidRPr="000B6220" w:rsidR="00371672">
        <w:t>Allemagne (1949), de la France et du Luxembourg (1963), de la Belgique (1964), de l</w:t>
      </w:r>
      <w:r w:rsidR="002257E9">
        <w:t>’</w:t>
      </w:r>
      <w:r w:rsidRPr="000B6220" w:rsidR="00371672">
        <w:t>Italie (1972), de l</w:t>
      </w:r>
      <w:r w:rsidR="002257E9">
        <w:t>’</w:t>
      </w:r>
      <w:r w:rsidRPr="000B6220" w:rsidR="00371672">
        <w:t>Autriche (1974), du Portugal (1976) et de l</w:t>
      </w:r>
      <w:r w:rsidR="002257E9">
        <w:t>’</w:t>
      </w:r>
      <w:r w:rsidRPr="000B6220" w:rsidR="00371672">
        <w:t>Espagne (1978).</w:t>
      </w:r>
    </w:p>
    <w:p w:rsidRPr="000B6220" w:rsidR="00D10E00" w:rsidP="00E05F30" w:rsidRDefault="00D10E00">
      <w:pPr>
        <w:pStyle w:val="JuPara"/>
      </w:pPr>
      <w:r w:rsidRPr="000B6220">
        <w:fldChar w:fldCharType="begin"/>
      </w:r>
      <w:r w:rsidRPr="000B6220">
        <w:instrText xml:space="preserve"> SEQ level0 \*arabic </w:instrText>
      </w:r>
      <w:r w:rsidRPr="000B6220">
        <w:fldChar w:fldCharType="separate"/>
      </w:r>
      <w:r w:rsidR="00226498">
        <w:rPr>
          <w:noProof/>
        </w:rPr>
        <w:t>47</w:t>
      </w:r>
      <w:r w:rsidRPr="000B6220">
        <w:fldChar w:fldCharType="end"/>
      </w:r>
      <w:r w:rsidRPr="000B6220">
        <w:t>.  </w:t>
      </w:r>
      <w:r w:rsidRPr="000B6220" w:rsidR="00EA52C9">
        <w:t xml:space="preserve">Une grande vague de reconnaissance est ensuite </w:t>
      </w:r>
      <w:r w:rsidR="00906ED7">
        <w:t>intervenue</w:t>
      </w:r>
      <w:r w:rsidRPr="000B6220" w:rsidR="00EA52C9">
        <w:t xml:space="preserve"> à la fin des années 1980 et au cours des années 1990, lorsque presque tous les Etats déjà membres</w:t>
      </w:r>
      <w:r w:rsidR="00160064">
        <w:t>,</w:t>
      </w:r>
      <w:r w:rsidRPr="000B6220" w:rsidR="00EA52C9">
        <w:t xml:space="preserve"> ou qui allaient le devenir</w:t>
      </w:r>
      <w:r w:rsidR="00160064">
        <w:t>,</w:t>
      </w:r>
      <w:r w:rsidRPr="000B6220" w:rsidR="00EA52C9">
        <w:t xml:space="preserve"> </w:t>
      </w:r>
      <w:r w:rsidRPr="000B6220" w:rsidR="00737017">
        <w:t>à n</w:t>
      </w:r>
      <w:r w:rsidR="002257E9">
        <w:t>’</w:t>
      </w:r>
      <w:r w:rsidRPr="000B6220" w:rsidR="00737017">
        <w:t xml:space="preserve">avoir </w:t>
      </w:r>
      <w:r w:rsidRPr="000B6220" w:rsidR="00EA52C9">
        <w:t xml:space="preserve">pas encore </w:t>
      </w:r>
      <w:r w:rsidRPr="000B6220" w:rsidR="00737017">
        <w:t xml:space="preserve">pris une telle mesure </w:t>
      </w:r>
      <w:r w:rsidRPr="000B6220" w:rsidR="00EA52C9">
        <w:t xml:space="preserve">ont introduit </w:t>
      </w:r>
      <w:r w:rsidRPr="000B6220" w:rsidR="00737017">
        <w:t xml:space="preserve">ce </w:t>
      </w:r>
      <w:r w:rsidRPr="000B6220" w:rsidR="00EA52C9">
        <w:t>droit dans leur système juridique interne</w:t>
      </w:r>
      <w:r w:rsidR="00906ED7">
        <w:t xml:space="preserve">, </w:t>
      </w:r>
      <w:r w:rsidR="00D21B53">
        <w:t>à savoir</w:t>
      </w:r>
      <w:r w:rsidRPr="000B6220" w:rsidR="00EA52C9">
        <w:t xml:space="preserve"> la Pologne (1988), la République tchèque et la Hongrie (1989), la Croatie (1990), l</w:t>
      </w:r>
      <w:r w:rsidR="002257E9">
        <w:t>’</w:t>
      </w:r>
      <w:r w:rsidRPr="000B6220" w:rsidR="00EA52C9">
        <w:t>Estonie, la Moldova et la Slovénie (1991), Chypre, l</w:t>
      </w:r>
      <w:r w:rsidR="002257E9">
        <w:t>’</w:t>
      </w:r>
      <w:r w:rsidR="00906ED7">
        <w:t>ex</w:t>
      </w:r>
      <w:r w:rsidR="00906ED7">
        <w:noBreakHyphen/>
      </w:r>
      <w:r w:rsidRPr="000B6220" w:rsidR="00EA52C9">
        <w:t>République fédérale de Yougoslavie (qui s</w:t>
      </w:r>
      <w:r w:rsidR="002257E9">
        <w:t>’</w:t>
      </w:r>
      <w:r w:rsidRPr="000B6220" w:rsidR="00EA52C9">
        <w:t>est scindée en 2006 en deux Etats, la Serbie et le Monténégro, lesquels ont tous deux conservé ce droit) et l</w:t>
      </w:r>
      <w:r w:rsidR="002257E9">
        <w:t>’</w:t>
      </w:r>
      <w:r w:rsidRPr="000B6220" w:rsidR="00EA52C9">
        <w:t>Ukraine (1992), la Lettonie (1993), la République slovaque et la Suisse (</w:t>
      </w:r>
      <w:r w:rsidRPr="000B6220" w:rsidR="00737017">
        <w:t>1995), la Bosnie-Herzégovine</w:t>
      </w:r>
      <w:r w:rsidRPr="000B6220" w:rsidR="00EA52C9">
        <w:t>, la Lituanie et la Roumanie (1996), la Géorgie et la Grèce (1997) et</w:t>
      </w:r>
      <w:r w:rsidRPr="000B6220" w:rsidR="00737017">
        <w:t>,</w:t>
      </w:r>
      <w:r w:rsidRPr="000B6220" w:rsidR="00EA52C9">
        <w:t xml:space="preserve"> enfin</w:t>
      </w:r>
      <w:r w:rsidRPr="000B6220" w:rsidR="00737017">
        <w:t>,</w:t>
      </w:r>
      <w:r w:rsidRPr="000B6220" w:rsidR="00EA52C9">
        <w:t xml:space="preserve"> la Bulgarie (1998).</w:t>
      </w:r>
    </w:p>
    <w:p w:rsidR="00C27424" w:rsidP="00E05F30" w:rsidRDefault="00D10E00">
      <w:pPr>
        <w:pStyle w:val="JuPara"/>
      </w:pPr>
      <w:r w:rsidRPr="000B6220">
        <w:fldChar w:fldCharType="begin"/>
      </w:r>
      <w:r w:rsidRPr="000B6220">
        <w:instrText xml:space="preserve"> SEQ level0 \*arabic </w:instrText>
      </w:r>
      <w:r w:rsidRPr="000B6220">
        <w:fldChar w:fldCharType="separate"/>
      </w:r>
      <w:r w:rsidR="00226498">
        <w:rPr>
          <w:noProof/>
        </w:rPr>
        <w:t>48</w:t>
      </w:r>
      <w:r w:rsidRPr="000B6220">
        <w:fldChar w:fldCharType="end"/>
      </w:r>
      <w:r w:rsidRPr="000B6220">
        <w:t>.  </w:t>
      </w:r>
      <w:r w:rsidRPr="000B6220" w:rsidR="00701E79">
        <w:t xml:space="preserve">Parmi les Etats membres restants, </w:t>
      </w:r>
      <w:r w:rsidR="007B3BEA">
        <w:t>« </w:t>
      </w:r>
      <w:r w:rsidRPr="000B6220" w:rsidR="00701E79">
        <w:t>l</w:t>
      </w:r>
      <w:r w:rsidR="002257E9">
        <w:t>’</w:t>
      </w:r>
      <w:r w:rsidRPr="000B6220" w:rsidR="00701E79">
        <w:t>ex-République yougoslave de Macédoine</w:t>
      </w:r>
      <w:r w:rsidR="007B3BEA">
        <w:t> »</w:t>
      </w:r>
      <w:r w:rsidRPr="000B6220" w:rsidR="00701E79">
        <w:t xml:space="preserve"> a créé en 2001 un véritable service civil de remplacement alors qu</w:t>
      </w:r>
      <w:r w:rsidR="002257E9">
        <w:t>’</w:t>
      </w:r>
      <w:r w:rsidRPr="000B6220" w:rsidR="00701E79">
        <w:t xml:space="preserve">elle offrait </w:t>
      </w:r>
      <w:r w:rsidRPr="000B6220" w:rsidR="00737017">
        <w:t xml:space="preserve">déjà </w:t>
      </w:r>
      <w:r w:rsidRPr="000B6220" w:rsidR="00701E79">
        <w:t>depuis 1992 la possibilité d</w:t>
      </w:r>
      <w:r w:rsidR="002257E9">
        <w:t>’</w:t>
      </w:r>
      <w:r w:rsidRPr="000B6220" w:rsidR="00701E79">
        <w:t>effectuer un service militaire non armé. La Russie et l</w:t>
      </w:r>
      <w:r w:rsidR="002257E9">
        <w:t>’</w:t>
      </w:r>
      <w:r w:rsidRPr="000B6220" w:rsidR="00701E79">
        <w:t>Albanie, qui ont reconnu respective</w:t>
      </w:r>
      <w:r w:rsidR="007B3BEA">
        <w:t>ment en 1993 et 1998 dans leur C</w:t>
      </w:r>
      <w:r w:rsidRPr="000B6220" w:rsidR="00701E79">
        <w:t>onstitution le droit à l</w:t>
      </w:r>
      <w:r w:rsidR="002257E9">
        <w:t>’</w:t>
      </w:r>
      <w:r w:rsidRPr="000B6220" w:rsidR="00701E79">
        <w:t xml:space="preserve">objection de conscience, ont parfait la mise en œuvre de ce droit </w:t>
      </w:r>
      <w:r w:rsidRPr="000B6220" w:rsidR="00737017">
        <w:t>avec</w:t>
      </w:r>
      <w:r w:rsidRPr="000B6220" w:rsidR="00701E79">
        <w:t xml:space="preserve"> des lois </w:t>
      </w:r>
      <w:r w:rsidRPr="000B6220" w:rsidR="00737017">
        <w:t xml:space="preserve">adoptées </w:t>
      </w:r>
      <w:r w:rsidRPr="000B6220" w:rsidR="00701E79">
        <w:t>respectivement en 2004 et 200</w:t>
      </w:r>
      <w:r w:rsidRPr="000B6220" w:rsidR="00737017">
        <w:t>3</w:t>
      </w:r>
      <w:r w:rsidRPr="000B6220" w:rsidR="00701E79">
        <w:t>. L</w:t>
      </w:r>
      <w:r w:rsidR="002257E9">
        <w:t>’</w:t>
      </w:r>
      <w:r w:rsidRPr="000B6220" w:rsidR="00701E79">
        <w:t>Azerbaï</w:t>
      </w:r>
      <w:r w:rsidR="007B3BEA">
        <w:t>djan a reconnu en 1995 dans sa C</w:t>
      </w:r>
      <w:r w:rsidRPr="000B6220" w:rsidR="00701E79">
        <w:t>onstitution le droit à l</w:t>
      </w:r>
      <w:r w:rsidR="002257E9">
        <w:t>’</w:t>
      </w:r>
      <w:r w:rsidRPr="000B6220" w:rsidR="00701E79">
        <w:t>objection de conscience mais n</w:t>
      </w:r>
      <w:r w:rsidR="002257E9">
        <w:t>’</w:t>
      </w:r>
      <w:r w:rsidRPr="000B6220" w:rsidR="00701E79">
        <w:t xml:space="preserve">a pas encore adopté de </w:t>
      </w:r>
      <w:r w:rsidRPr="000B6220" w:rsidR="002B4311">
        <w:t xml:space="preserve">loi </w:t>
      </w:r>
      <w:r w:rsidR="007B3BEA">
        <w:t>d</w:t>
      </w:r>
      <w:r w:rsidR="002257E9">
        <w:t>’</w:t>
      </w:r>
      <w:r w:rsidRPr="000B6220" w:rsidR="002B4311">
        <w:t>application</w:t>
      </w:r>
      <w:r w:rsidRPr="000B6220" w:rsidR="00701E79">
        <w:t>. Enfin, en Turquie, l</w:t>
      </w:r>
      <w:r w:rsidR="002257E9">
        <w:t>’</w:t>
      </w:r>
      <w:r w:rsidR="007B3BEA">
        <w:t>objection</w:t>
      </w:r>
      <w:r w:rsidRPr="000B6220" w:rsidR="00701E79">
        <w:t xml:space="preserve"> de conscience </w:t>
      </w:r>
      <w:r w:rsidR="007B3BEA">
        <w:t>n</w:t>
      </w:r>
      <w:r w:rsidR="002257E9">
        <w:t>’</w:t>
      </w:r>
      <w:r w:rsidR="007B3BEA">
        <w:t>est pas reconnue</w:t>
      </w:r>
      <w:r w:rsidRPr="000B6220" w:rsidR="00701E79">
        <w:t>.</w:t>
      </w:r>
    </w:p>
    <w:p w:rsidRPr="000B6220" w:rsidR="00D10E00" w:rsidP="00E05F30" w:rsidRDefault="00D10E00">
      <w:pPr>
        <w:pStyle w:val="JuPara"/>
      </w:pPr>
      <w:r w:rsidRPr="000B6220">
        <w:fldChar w:fldCharType="begin"/>
      </w:r>
      <w:r w:rsidRPr="000B6220">
        <w:instrText xml:space="preserve"> SEQ level0 \*arabic </w:instrText>
      </w:r>
      <w:r w:rsidRPr="000B6220">
        <w:fldChar w:fldCharType="separate"/>
      </w:r>
      <w:r w:rsidR="00226498">
        <w:rPr>
          <w:noProof/>
        </w:rPr>
        <w:t>49</w:t>
      </w:r>
      <w:r w:rsidRPr="000B6220">
        <w:fldChar w:fldCharType="end"/>
      </w:r>
      <w:r w:rsidRPr="000B6220">
        <w:t>.  </w:t>
      </w:r>
      <w:r w:rsidRPr="000B6220" w:rsidR="00701E79">
        <w:t xml:space="preserve">Dans la plupart des Etats membres où </w:t>
      </w:r>
      <w:r w:rsidRPr="000B6220" w:rsidR="00AD157D">
        <w:t>l</w:t>
      </w:r>
      <w:r w:rsidR="002257E9">
        <w:t>’</w:t>
      </w:r>
      <w:r w:rsidRPr="000B6220" w:rsidR="00AD157D">
        <w:t xml:space="preserve">objection de conscience </w:t>
      </w:r>
      <w:r w:rsidRPr="000B6220" w:rsidR="00D353EF">
        <w:t>était</w:t>
      </w:r>
      <w:r w:rsidRPr="000B6220" w:rsidR="00AD157D">
        <w:t xml:space="preserve"> ou est reconnue et totalement </w:t>
      </w:r>
      <w:r w:rsidR="0058285E">
        <w:t>traduite dans les faits</w:t>
      </w:r>
      <w:r w:rsidRPr="000B6220" w:rsidR="00AD157D">
        <w:t>, le statut d</w:t>
      </w:r>
      <w:r w:rsidR="002257E9">
        <w:t>’</w:t>
      </w:r>
      <w:r w:rsidRPr="000B6220" w:rsidR="00AD157D">
        <w:t xml:space="preserve">objecteur de conscience pouvait ou peut être demandé </w:t>
      </w:r>
      <w:r w:rsidR="0058285E">
        <w:t>sur la base</w:t>
      </w:r>
      <w:r w:rsidRPr="000B6220" w:rsidR="00AD157D">
        <w:t xml:space="preserve"> </w:t>
      </w:r>
      <w:r w:rsidRPr="000B6220" w:rsidR="002B4311">
        <w:t xml:space="preserve">non seulement </w:t>
      </w:r>
      <w:r w:rsidRPr="000B6220" w:rsidR="00AD157D">
        <w:t xml:space="preserve">des convictions religieuses mais aussi </w:t>
      </w:r>
      <w:r w:rsidR="0058285E">
        <w:t>d</w:t>
      </w:r>
      <w:r w:rsidR="002257E9">
        <w:t>’</w:t>
      </w:r>
      <w:r w:rsidRPr="000B6220" w:rsidR="00AD157D">
        <w:t xml:space="preserve">un </w:t>
      </w:r>
      <w:r w:rsidR="0058285E">
        <w:t>éventail</w:t>
      </w:r>
      <w:r w:rsidRPr="000B6220" w:rsidR="00AD157D">
        <w:t xml:space="preserve"> relativement </w:t>
      </w:r>
      <w:r w:rsidRPr="000B6220" w:rsidR="00CD3EB7">
        <w:t>large</w:t>
      </w:r>
      <w:r w:rsidRPr="000B6220" w:rsidR="00AD157D">
        <w:t xml:space="preserve"> de croyances personne</w:t>
      </w:r>
      <w:r w:rsidRPr="000B6220" w:rsidR="00F32A53">
        <w:t>lle</w:t>
      </w:r>
      <w:r w:rsidRPr="000B6220" w:rsidR="00AD157D">
        <w:t xml:space="preserve">s de nature non religieuse, </w:t>
      </w:r>
      <w:r w:rsidRPr="000B6220" w:rsidR="00CD3EB7">
        <w:t>à deux</w:t>
      </w:r>
      <w:r w:rsidRPr="000B6220" w:rsidR="00AD157D">
        <w:t xml:space="preserve"> seules exceptions </w:t>
      </w:r>
      <w:r w:rsidRPr="000B6220" w:rsidR="00CD3EB7">
        <w:t xml:space="preserve">près, </w:t>
      </w:r>
      <w:r w:rsidRPr="000B6220" w:rsidR="00AD157D">
        <w:t>la Roumanie et l</w:t>
      </w:r>
      <w:r w:rsidR="002257E9">
        <w:t>’</w:t>
      </w:r>
      <w:r w:rsidRPr="000B6220" w:rsidR="00AD157D">
        <w:t>Ukraine, où le droit de bénéficier du statut d</w:t>
      </w:r>
      <w:r w:rsidR="002257E9">
        <w:t>’</w:t>
      </w:r>
      <w:r w:rsidRPr="000B6220" w:rsidR="00AD157D">
        <w:t>objecteur de conscience n</w:t>
      </w:r>
      <w:r w:rsidR="002257E9">
        <w:t>’</w:t>
      </w:r>
      <w:r w:rsidRPr="000B6220" w:rsidR="00AD157D">
        <w:t>est accordé que pour des motifs religieux. Dans certains Etats membres, ce droit ne s</w:t>
      </w:r>
      <w:r w:rsidR="002257E9">
        <w:t>’</w:t>
      </w:r>
      <w:r w:rsidRPr="000B6220" w:rsidR="00AD157D">
        <w:t>appliquait ou ne s</w:t>
      </w:r>
      <w:r w:rsidR="002257E9">
        <w:t>’</w:t>
      </w:r>
      <w:r w:rsidRPr="000B6220" w:rsidR="00AD157D">
        <w:t>applique respectivement qu</w:t>
      </w:r>
      <w:r w:rsidR="002257E9">
        <w:t>’</w:t>
      </w:r>
      <w:r w:rsidRPr="000B6220" w:rsidR="00AD157D">
        <w:t>en temps de paix, comme en Pologne, en Belgique et en Finlande, tandis que dans d</w:t>
      </w:r>
      <w:r w:rsidR="002257E9">
        <w:t>’</w:t>
      </w:r>
      <w:r w:rsidRPr="000B6220" w:rsidR="00AD157D">
        <w:t>autres, comm</w:t>
      </w:r>
      <w:r w:rsidRPr="00906ED7" w:rsidR="00AD157D">
        <w:t xml:space="preserve">e </w:t>
      </w:r>
      <w:r w:rsidRPr="00906ED7" w:rsidR="0085799B">
        <w:t>au</w:t>
      </w:r>
      <w:r w:rsidRPr="00906ED7" w:rsidR="00AD157D">
        <w:t xml:space="preserve"> Monténégro et </w:t>
      </w:r>
      <w:r w:rsidRPr="00906ED7" w:rsidR="0085799B">
        <w:t>en</w:t>
      </w:r>
      <w:r w:rsidRPr="00906ED7" w:rsidR="00AD157D">
        <w:t xml:space="preserve"> Répu</w:t>
      </w:r>
      <w:r w:rsidRPr="000B6220" w:rsidR="00AD157D">
        <w:t xml:space="preserve">blique slovaque, </w:t>
      </w:r>
      <w:r w:rsidRPr="000B6220" w:rsidR="00CD3EB7">
        <w:t>il</w:t>
      </w:r>
      <w:r w:rsidRPr="000B6220" w:rsidR="00AD157D">
        <w:t xml:space="preserve"> ne s</w:t>
      </w:r>
      <w:r w:rsidR="002257E9">
        <w:t>’</w:t>
      </w:r>
      <w:r w:rsidRPr="000B6220" w:rsidR="00AD157D">
        <w:t>applique par définition qu</w:t>
      </w:r>
      <w:r w:rsidR="002257E9">
        <w:t>’</w:t>
      </w:r>
      <w:r w:rsidRPr="000B6220" w:rsidR="00AD157D">
        <w:t xml:space="preserve">en </w:t>
      </w:r>
      <w:r w:rsidRPr="000B6220" w:rsidR="00CD3EB7">
        <w:t>période</w:t>
      </w:r>
      <w:r w:rsidRPr="000B6220" w:rsidR="00AD157D">
        <w:t xml:space="preserve"> de mobilisation ou de guerre. Enfin, </w:t>
      </w:r>
      <w:r w:rsidR="0058285E">
        <w:t>quelques</w:t>
      </w:r>
      <w:r w:rsidRPr="000B6220" w:rsidR="00AD157D">
        <w:t xml:space="preserve"> Etats membres, telle la Finlande, permettent à certaines catégories d</w:t>
      </w:r>
      <w:r w:rsidR="002257E9">
        <w:t>’</w:t>
      </w:r>
      <w:r w:rsidRPr="000B6220" w:rsidR="00AD157D">
        <w:t>objecteurs de conscience d</w:t>
      </w:r>
      <w:r w:rsidR="002257E9">
        <w:t>’</w:t>
      </w:r>
      <w:r w:rsidRPr="000B6220" w:rsidR="00AD157D">
        <w:t>être exemptés aussi du service de remplacement.</w:t>
      </w:r>
    </w:p>
    <w:p w:rsidRPr="000B6220" w:rsidR="00F27F95" w:rsidP="00E05F30" w:rsidRDefault="00D10E00">
      <w:pPr>
        <w:pStyle w:val="JuHIRoman"/>
      </w:pPr>
      <w:r w:rsidRPr="000B6220">
        <w:t>IV.  </w:t>
      </w:r>
      <w:r w:rsidRPr="000B6220" w:rsidR="00F27F95">
        <w:t xml:space="preserve">DOCUMENTS </w:t>
      </w:r>
      <w:r w:rsidRPr="000B6220">
        <w:t xml:space="preserve">ET PRATIQUE </w:t>
      </w:r>
      <w:r w:rsidRPr="000B6220" w:rsidR="00F27F95">
        <w:t>INTERNATIONAUX PERTINENTS</w:t>
      </w:r>
    </w:p>
    <w:p w:rsidRPr="000B6220" w:rsidR="00D10E00" w:rsidP="00E05F30" w:rsidRDefault="00F27F95">
      <w:pPr>
        <w:pStyle w:val="JuHA"/>
      </w:pPr>
      <w:r w:rsidRPr="000B6220">
        <w:t>A.  </w:t>
      </w:r>
      <w:r w:rsidRPr="000B6220" w:rsidR="00D10E00">
        <w:t>Documents européens</w:t>
      </w:r>
    </w:p>
    <w:p w:rsidR="00C27424" w:rsidP="00E05F30" w:rsidRDefault="00D10E00">
      <w:pPr>
        <w:pStyle w:val="JuH1"/>
      </w:pPr>
      <w:r w:rsidRPr="000B6220">
        <w:t>1.  Le Conseil de l</w:t>
      </w:r>
      <w:r w:rsidR="002257E9">
        <w:t>’</w:t>
      </w:r>
      <w:r w:rsidRPr="000B6220">
        <w:t>Europe</w:t>
      </w:r>
    </w:p>
    <w:p w:rsidRPr="000B6220" w:rsidR="00D10E00" w:rsidP="00E05F30" w:rsidRDefault="002E3A77">
      <w:pPr>
        <w:pStyle w:val="JuHa0"/>
      </w:pPr>
      <w:r>
        <w:t>a)</w:t>
      </w:r>
      <w:r w:rsidR="0058285E">
        <w:t>  Document</w:t>
      </w:r>
      <w:r w:rsidRPr="000B6220" w:rsidR="005B0A9C">
        <w:t xml:space="preserve"> </w:t>
      </w:r>
      <w:r w:rsidR="0058285E">
        <w:t>consacré</w:t>
      </w:r>
      <w:r w:rsidRPr="000B6220" w:rsidR="005B0A9C">
        <w:t xml:space="preserve"> à l</w:t>
      </w:r>
      <w:r w:rsidR="002257E9">
        <w:t>’</w:t>
      </w:r>
      <w:r w:rsidRPr="000B6220" w:rsidR="005B0A9C">
        <w:t>Arménie</w:t>
      </w:r>
    </w:p>
    <w:p w:rsidRPr="000B6220" w:rsidR="00F27F95" w:rsidP="001577E2" w:rsidRDefault="00F27F95">
      <w:pPr>
        <w:pStyle w:val="JuHi"/>
        <w:tabs>
          <w:tab w:val="clear" w:pos="1191"/>
        </w:tabs>
        <w:ind w:left="756" w:firstLine="14"/>
      </w:pPr>
      <w:r w:rsidRPr="000B6220">
        <w:t>Avis n</w:t>
      </w:r>
      <w:r w:rsidRPr="00E40C8E" w:rsidR="00E40C8E">
        <w:rPr>
          <w:vertAlign w:val="superscript"/>
        </w:rPr>
        <w:t>o</w:t>
      </w:r>
      <w:r w:rsidRPr="000B6220">
        <w:t xml:space="preserve"> 221 (2000) de l</w:t>
      </w:r>
      <w:r w:rsidR="002257E9">
        <w:t>’</w:t>
      </w:r>
      <w:r w:rsidRPr="000B6220">
        <w:t>Assemblée parlementaire du Conseil de l</w:t>
      </w:r>
      <w:r w:rsidR="002257E9">
        <w:t>’</w:t>
      </w:r>
      <w:r w:rsidRPr="000B6220">
        <w:t>Europe</w:t>
      </w:r>
      <w:r w:rsidR="001179AB">
        <w:t xml:space="preserve"> </w:t>
      </w:r>
      <w:r w:rsidRPr="000B6220">
        <w:t>– Demande d</w:t>
      </w:r>
      <w:r w:rsidR="002257E9">
        <w:t>’</w:t>
      </w:r>
      <w:r w:rsidRPr="000B6220">
        <w:t>adhésion de l</w:t>
      </w:r>
      <w:r w:rsidR="002257E9">
        <w:t>’</w:t>
      </w:r>
      <w:r w:rsidRPr="000B6220">
        <w:t>Arménie au Conseil de l</w:t>
      </w:r>
      <w:r w:rsidR="002257E9">
        <w:t>’</w:t>
      </w:r>
      <w:r w:rsidRPr="000B6220">
        <w:t>Europe</w:t>
      </w:r>
    </w:p>
    <w:p w:rsidRPr="000B6220" w:rsidR="00F27F95" w:rsidP="00E05F30" w:rsidRDefault="00F27F95">
      <w:pPr>
        <w:pStyle w:val="JuPara"/>
      </w:pPr>
      <w:r w:rsidRPr="000B6220">
        <w:fldChar w:fldCharType="begin"/>
      </w:r>
      <w:r w:rsidRPr="000B6220">
        <w:instrText xml:space="preserve"> SEQ level0 \*arabic </w:instrText>
      </w:r>
      <w:r w:rsidRPr="000B6220">
        <w:fldChar w:fldCharType="separate"/>
      </w:r>
      <w:r w:rsidR="00226498">
        <w:rPr>
          <w:noProof/>
        </w:rPr>
        <w:t>50</w:t>
      </w:r>
      <w:r w:rsidRPr="000B6220">
        <w:fldChar w:fldCharType="end"/>
      </w:r>
      <w:r w:rsidRPr="000B6220" w:rsidR="00F23E20">
        <w:t>.  </w:t>
      </w:r>
      <w:r w:rsidRPr="000B6220" w:rsidR="00D5447C">
        <w:t>Le 28 juin 2000, l</w:t>
      </w:r>
      <w:r w:rsidR="002257E9">
        <w:t>’</w:t>
      </w:r>
      <w:r w:rsidRPr="000B6220" w:rsidR="00D5447C">
        <w:t>Assemblée parlementaire du Conseil de l</w:t>
      </w:r>
      <w:r w:rsidR="002257E9">
        <w:t>’</w:t>
      </w:r>
      <w:r w:rsidRPr="000B6220" w:rsidR="00D5447C">
        <w:t>Europe a adopté son avis n</w:t>
      </w:r>
      <w:r w:rsidRPr="00E40C8E" w:rsidR="00E40C8E">
        <w:rPr>
          <w:vertAlign w:val="superscript"/>
        </w:rPr>
        <w:t>o</w:t>
      </w:r>
      <w:r w:rsidRPr="000B6220" w:rsidR="00D5447C">
        <w:t xml:space="preserve"> 221 sur la demande d</w:t>
      </w:r>
      <w:r w:rsidR="002257E9">
        <w:t>’</w:t>
      </w:r>
      <w:r w:rsidRPr="000B6220" w:rsidR="00D5447C">
        <w:t>adhésion de l</w:t>
      </w:r>
      <w:r w:rsidR="002257E9">
        <w:t>’</w:t>
      </w:r>
      <w:r w:rsidRPr="000B6220" w:rsidR="00D5447C">
        <w:t>Arménie au Conseil de l</w:t>
      </w:r>
      <w:r w:rsidR="002257E9">
        <w:t>’</w:t>
      </w:r>
      <w:r w:rsidRPr="000B6220" w:rsidR="00D5447C">
        <w:t>Europe</w:t>
      </w:r>
      <w:r w:rsidR="002B1826">
        <w:t>, qu</w:t>
      </w:r>
      <w:r w:rsidR="002257E9">
        <w:t>’</w:t>
      </w:r>
      <w:r w:rsidR="002B1826">
        <w:t>elle</w:t>
      </w:r>
      <w:r w:rsidRPr="000B6220" w:rsidR="00D5447C">
        <w:t xml:space="preserve"> a conclu en recommandant au Comité des Ministres du Conseil de l</w:t>
      </w:r>
      <w:r w:rsidR="002257E9">
        <w:t>’</w:t>
      </w:r>
      <w:r w:rsidRPr="000B6220" w:rsidR="00D5447C">
        <w:t>Europe d</w:t>
      </w:r>
      <w:r w:rsidR="002257E9">
        <w:t>’</w:t>
      </w:r>
      <w:r w:rsidRPr="000B6220" w:rsidR="00D5447C">
        <w:t>inviter l</w:t>
      </w:r>
      <w:r w:rsidR="002257E9">
        <w:t>’</w:t>
      </w:r>
      <w:r w:rsidRPr="000B6220" w:rsidR="00D5447C">
        <w:t>Arménie à adhérer, sous réserve que ce pays respecte un certain nombre d</w:t>
      </w:r>
      <w:r w:rsidR="002257E9">
        <w:t>’</w:t>
      </w:r>
      <w:r w:rsidRPr="000B6220" w:rsidR="00D5447C">
        <w:t>engagements dans les délais prescrits. L</w:t>
      </w:r>
      <w:r w:rsidR="002257E9">
        <w:t>’</w:t>
      </w:r>
      <w:r w:rsidRPr="000B6220" w:rsidR="00D5447C">
        <w:t xml:space="preserve">extrait pertinent de cet avis </w:t>
      </w:r>
      <w:r w:rsidR="002B1826">
        <w:t>se lit ainsi</w:t>
      </w:r>
      <w:r w:rsidRPr="000B6220" w:rsidR="00D5447C">
        <w:t> :</w:t>
      </w:r>
    </w:p>
    <w:p w:rsidRPr="000B6220" w:rsidR="00F27F95" w:rsidP="00E05F30" w:rsidRDefault="00F27F95">
      <w:pPr>
        <w:pStyle w:val="JuQuot"/>
      </w:pPr>
      <w:r w:rsidRPr="000B6220">
        <w:t>« 13. L</w:t>
      </w:r>
      <w:r w:rsidR="002257E9">
        <w:t>’</w:t>
      </w:r>
      <w:r w:rsidRPr="000B6220">
        <w:t>Assemblée parlementaire prend note des lettres du Président de l</w:t>
      </w:r>
      <w:r w:rsidR="002257E9">
        <w:t>’</w:t>
      </w:r>
      <w:r w:rsidRPr="000B6220">
        <w:t>Arménie, du président du parlement, du Premier ministre, ainsi que des présidents des partis politiques représentés au parlement, et note que l</w:t>
      </w:r>
      <w:r w:rsidR="002257E9">
        <w:t>’</w:t>
      </w:r>
      <w:r w:rsidRPr="000B6220">
        <w:t>Arménie s</w:t>
      </w:r>
      <w:r w:rsidR="002257E9">
        <w:t>’</w:t>
      </w:r>
      <w:r w:rsidRPr="000B6220">
        <w:t>engage à respecter les engagements énumérés ci-dessous : (</w:t>
      </w:r>
      <w:r w:rsidR="00E40C8E">
        <w:t>...</w:t>
      </w:r>
      <w:r w:rsidRPr="000B6220">
        <w:t>)</w:t>
      </w:r>
      <w:r w:rsidRPr="000B6220" w:rsidR="00D5447C">
        <w:t xml:space="preserve"> </w:t>
      </w:r>
      <w:r w:rsidRPr="000B6220">
        <w:t>à adopter une loi sur un service de remplacement conforme aux normes européennes, dans les trois années suivant son adhésion, et, entre-temps, à amnistier les objecteurs de conscience purgeant actuellement des peines de prison ou servant dans des bataillons disciplinaires, en les autorisant (une fois la loi sur le service de remplacement entrée en vigueur) à faire leur service militaire dans des unités non armées ou dans un service civil de remplacement ; »</w:t>
      </w:r>
    </w:p>
    <w:p w:rsidRPr="000B6220" w:rsidR="005B0A9C" w:rsidP="00E05F30" w:rsidRDefault="0013555A">
      <w:pPr>
        <w:pStyle w:val="JuHa0"/>
      </w:pPr>
      <w:r>
        <w:t>b)</w:t>
      </w:r>
      <w:r w:rsidRPr="000B6220" w:rsidR="005B0A9C">
        <w:t>  Documents généraux</w:t>
      </w:r>
    </w:p>
    <w:p w:rsidRPr="000B6220" w:rsidR="005B0A9C" w:rsidP="00E05F30" w:rsidRDefault="005B0A9C">
      <w:pPr>
        <w:pStyle w:val="JuHi"/>
      </w:pPr>
      <w:r w:rsidRPr="000B6220">
        <w:t>i</w:t>
      </w:r>
      <w:r w:rsidR="00DF48AD">
        <w:t>.</w:t>
      </w:r>
      <w:r w:rsidRPr="000B6220">
        <w:t>  L</w:t>
      </w:r>
      <w:r w:rsidR="002257E9">
        <w:t>’</w:t>
      </w:r>
      <w:r w:rsidRPr="000B6220" w:rsidR="00CD3EB7">
        <w:t>Assemblée parlementaire du Conseil de l</w:t>
      </w:r>
      <w:r w:rsidR="002257E9">
        <w:t>’</w:t>
      </w:r>
      <w:r w:rsidRPr="000B6220" w:rsidR="00CD3EB7">
        <w:t>Europe</w:t>
      </w:r>
    </w:p>
    <w:p w:rsidRPr="000B6220" w:rsidR="005B0A9C" w:rsidP="00E05F30" w:rsidRDefault="00D5447C">
      <w:pPr>
        <w:pStyle w:val="JuPara"/>
      </w:pPr>
      <w:r w:rsidRPr="000B6220">
        <w:fldChar w:fldCharType="begin"/>
      </w:r>
      <w:r w:rsidRPr="000B6220">
        <w:instrText xml:space="preserve"> SEQ level0 \*arabic </w:instrText>
      </w:r>
      <w:r w:rsidRPr="000B6220">
        <w:fldChar w:fldCharType="separate"/>
      </w:r>
      <w:r w:rsidR="00226498">
        <w:rPr>
          <w:noProof/>
        </w:rPr>
        <w:t>51</w:t>
      </w:r>
      <w:r w:rsidRPr="000B6220">
        <w:fldChar w:fldCharType="end"/>
      </w:r>
      <w:r w:rsidRPr="000B6220">
        <w:t>.  </w:t>
      </w:r>
      <w:r w:rsidRPr="000B6220" w:rsidR="006B250E">
        <w:t>L</w:t>
      </w:r>
      <w:r w:rsidR="002257E9">
        <w:t>’</w:t>
      </w:r>
      <w:r w:rsidRPr="000B6220" w:rsidR="00CD3EB7">
        <w:t>Assemblée parlementaire</w:t>
      </w:r>
      <w:r w:rsidRPr="000B6220" w:rsidR="006B250E">
        <w:t xml:space="preserve"> a mentionné le droit à l</w:t>
      </w:r>
      <w:r w:rsidR="002257E9">
        <w:t>’</w:t>
      </w:r>
      <w:r w:rsidRPr="000B6220" w:rsidR="006B250E">
        <w:t xml:space="preserve">objection </w:t>
      </w:r>
      <w:r w:rsidR="00D81B44">
        <w:t>de conscience dès 1967 dans sa R</w:t>
      </w:r>
      <w:r w:rsidRPr="000B6220" w:rsidR="006B250E">
        <w:t>ésolution 337 (1967), où elle énonce les principes de base suivants :</w:t>
      </w:r>
    </w:p>
    <w:p w:rsidRPr="000B6220" w:rsidR="007134DE" w:rsidP="00E05F30" w:rsidRDefault="00C27424">
      <w:pPr>
        <w:pStyle w:val="JuQuot"/>
      </w:pPr>
      <w:r>
        <w:t>« 1.  </w:t>
      </w:r>
      <w:r w:rsidRPr="000B6220" w:rsidR="007134DE">
        <w:t>Les personnes astreintes au service militaire qui, pour des motifs de conscience ou en raison d</w:t>
      </w:r>
      <w:r w:rsidR="002257E9">
        <w:t>’</w:t>
      </w:r>
      <w:r w:rsidRPr="000B6220" w:rsidR="007134DE">
        <w:t>une conviction profonde d</w:t>
      </w:r>
      <w:r w:rsidR="002257E9">
        <w:t>’</w:t>
      </w:r>
      <w:r w:rsidRPr="000B6220" w:rsidR="007134DE">
        <w:t>ordre religieux, éthique, moral, humanitaire, philosophique ou autre de même nature, refusent d</w:t>
      </w:r>
      <w:r w:rsidR="002257E9">
        <w:t>’</w:t>
      </w:r>
      <w:r w:rsidR="00C01626">
        <w:t>accomplir le service armé</w:t>
      </w:r>
      <w:r w:rsidRPr="000B6220" w:rsidR="007134DE">
        <w:t xml:space="preserve"> doivent avoir un droit subjectif à être dispensées de ce service.</w:t>
      </w:r>
    </w:p>
    <w:p w:rsidRPr="000B6220" w:rsidR="006B250E" w:rsidP="00E05F30" w:rsidRDefault="00C27424">
      <w:pPr>
        <w:pStyle w:val="JuQuot"/>
      </w:pPr>
      <w:r>
        <w:t>2.  </w:t>
      </w:r>
      <w:r w:rsidRPr="000B6220" w:rsidR="007134DE">
        <w:t>Dans les Etats démocratiques, fondés sur le principe de la prééminence du droit, ce droit est considéré comme découlant logiquement des droits fondamentaux de l</w:t>
      </w:r>
      <w:r w:rsidR="002257E9">
        <w:t>’</w:t>
      </w:r>
      <w:r w:rsidRPr="000B6220" w:rsidR="007134DE">
        <w:t>individu garantis par l</w:t>
      </w:r>
      <w:r w:rsidR="002257E9">
        <w:t>’</w:t>
      </w:r>
      <w:r w:rsidRPr="000B6220" w:rsidR="007134DE">
        <w:t>article 9 de la Convention europée</w:t>
      </w:r>
      <w:r w:rsidR="00C01626">
        <w:t>nne des d</w:t>
      </w:r>
      <w:r w:rsidRPr="000B6220" w:rsidR="007134DE">
        <w:t>roits de l</w:t>
      </w:r>
      <w:r w:rsidR="002257E9">
        <w:t>’</w:t>
      </w:r>
      <w:r w:rsidR="00C01626">
        <w:t>h</w:t>
      </w:r>
      <w:r w:rsidRPr="000B6220" w:rsidR="007134DE">
        <w:t>omme. »</w:t>
      </w:r>
    </w:p>
    <w:p w:rsidRPr="000B6220" w:rsidR="007134DE" w:rsidP="00E05F30" w:rsidRDefault="007134DE">
      <w:pPr>
        <w:pStyle w:val="JuPara"/>
      </w:pPr>
      <w:r w:rsidRPr="000B6220">
        <w:fldChar w:fldCharType="begin"/>
      </w:r>
      <w:r w:rsidRPr="000B6220">
        <w:instrText xml:space="preserve"> SEQ level0 \*arabic </w:instrText>
      </w:r>
      <w:r w:rsidRPr="000B6220">
        <w:fldChar w:fldCharType="separate"/>
      </w:r>
      <w:r w:rsidR="00226498">
        <w:rPr>
          <w:noProof/>
        </w:rPr>
        <w:t>52</w:t>
      </w:r>
      <w:r w:rsidRPr="000B6220">
        <w:fldChar w:fldCharType="end"/>
      </w:r>
      <w:r w:rsidRPr="000B6220">
        <w:t>.  Sur le fondement de cette résolution, l</w:t>
      </w:r>
      <w:r w:rsidR="002257E9">
        <w:t>’</w:t>
      </w:r>
      <w:r w:rsidRPr="000B6220" w:rsidR="00CD3EB7">
        <w:t>Assemblée parlementaire</w:t>
      </w:r>
      <w:r w:rsidR="00D81B44">
        <w:t xml:space="preserve"> a adopté la R</w:t>
      </w:r>
      <w:r w:rsidRPr="000B6220">
        <w:t xml:space="preserve">ecommandation 478(1967) où elle appelle le Comité des Ministres à inviter les Etats membres à </w:t>
      </w:r>
      <w:r w:rsidRPr="000B6220" w:rsidR="00CD3EB7">
        <w:t xml:space="preserve">conformer, autant que possible, </w:t>
      </w:r>
      <w:r w:rsidRPr="000B6220">
        <w:t>leur</w:t>
      </w:r>
      <w:r w:rsidRPr="000B6220" w:rsidR="00CD3EB7">
        <w:t>s</w:t>
      </w:r>
      <w:r w:rsidRPr="000B6220">
        <w:t xml:space="preserve"> législation</w:t>
      </w:r>
      <w:r w:rsidRPr="000B6220" w:rsidR="00CD3EB7">
        <w:t>s</w:t>
      </w:r>
      <w:r w:rsidRPr="000B6220">
        <w:t xml:space="preserve"> nationale</w:t>
      </w:r>
      <w:r w:rsidRPr="000B6220" w:rsidR="00CD3EB7">
        <w:t>s</w:t>
      </w:r>
      <w:r w:rsidRPr="000B6220">
        <w:t xml:space="preserve"> </w:t>
      </w:r>
      <w:r w:rsidRPr="000B6220" w:rsidR="00CD3EB7">
        <w:t xml:space="preserve">aux </w:t>
      </w:r>
      <w:r w:rsidRPr="000B6220">
        <w:t xml:space="preserve">principes de base en question. </w:t>
      </w:r>
      <w:r w:rsidR="00F43933">
        <w:t>Elle</w:t>
      </w:r>
      <w:r w:rsidRPr="000B6220" w:rsidR="00CD3EB7">
        <w:t xml:space="preserve"> </w:t>
      </w:r>
      <w:r w:rsidRPr="000B6220" w:rsidR="00A762DD">
        <w:t xml:space="preserve">a ensuite rappelé et complété </w:t>
      </w:r>
      <w:r w:rsidR="00D81B44">
        <w:t>les principes de base dans ses R</w:t>
      </w:r>
      <w:r w:rsidRPr="000B6220" w:rsidR="00A762DD">
        <w:t>ecommandations 816(1977) et 1518(2001). Dans cette dernière, elle déclare que le droit à l</w:t>
      </w:r>
      <w:r w:rsidR="002257E9">
        <w:t>’</w:t>
      </w:r>
      <w:r w:rsidRPr="000B6220" w:rsidR="00A762DD">
        <w:t>objection de conscience est « une composante fondamentale du droit à la liberté de pensée, de conscience et de religion » reconnu dans la Convention. Elle y souligne qu</w:t>
      </w:r>
      <w:r w:rsidR="002257E9">
        <w:t>’</w:t>
      </w:r>
      <w:r w:rsidRPr="000B6220" w:rsidR="00A762DD">
        <w:t>il n</w:t>
      </w:r>
      <w:r w:rsidR="002257E9">
        <w:t>’</w:t>
      </w:r>
      <w:r w:rsidRPr="000B6220" w:rsidR="00A762DD">
        <w:t>y a que cinq Etats membres où ce droit n</w:t>
      </w:r>
      <w:r w:rsidR="002257E9">
        <w:t>’</w:t>
      </w:r>
      <w:r w:rsidRPr="000B6220" w:rsidR="00A762DD">
        <w:t xml:space="preserve">est pas reconnu, et recommande au Comité des Ministre de les inviter à </w:t>
      </w:r>
      <w:r w:rsidR="00C02221">
        <w:t xml:space="preserve">le </w:t>
      </w:r>
      <w:r w:rsidRPr="000B6220" w:rsidR="00A762DD">
        <w:t>reconnaître.</w:t>
      </w:r>
    </w:p>
    <w:p w:rsidRPr="000B6220" w:rsidR="00A762DD" w:rsidP="00E05F30" w:rsidRDefault="00A762DD">
      <w:pPr>
        <w:pStyle w:val="JuPara"/>
      </w:pPr>
      <w:r w:rsidRPr="000B6220">
        <w:fldChar w:fldCharType="begin"/>
      </w:r>
      <w:r w:rsidRPr="000B6220">
        <w:instrText xml:space="preserve"> SEQ level0 \*arabic </w:instrText>
      </w:r>
      <w:r w:rsidRPr="000B6220">
        <w:fldChar w:fldCharType="separate"/>
      </w:r>
      <w:r w:rsidR="00226498">
        <w:rPr>
          <w:noProof/>
        </w:rPr>
        <w:t>53</w:t>
      </w:r>
      <w:r w:rsidRPr="000B6220">
        <w:fldChar w:fldCharType="end"/>
      </w:r>
      <w:r w:rsidRPr="000B6220">
        <w:t>.  </w:t>
      </w:r>
      <w:r w:rsidRPr="000B6220" w:rsidR="00FD4ADD">
        <w:t xml:space="preserve">En 2006, </w:t>
      </w:r>
      <w:r w:rsidRPr="000B6220" w:rsidR="00CD3EB7">
        <w:t>l</w:t>
      </w:r>
      <w:r w:rsidR="002257E9">
        <w:t>’</w:t>
      </w:r>
      <w:r w:rsidRPr="000B6220" w:rsidR="00CD3EB7">
        <w:t xml:space="preserve">Assemblée parlementaire </w:t>
      </w:r>
      <w:r w:rsidR="00C02221">
        <w:t>a adopté la R</w:t>
      </w:r>
      <w:r w:rsidRPr="000B6220" w:rsidR="00FD4ADD">
        <w:t xml:space="preserve">ecommandation 1742(2006) </w:t>
      </w:r>
      <w:r w:rsidRPr="000B6220" w:rsidR="00922AC3">
        <w:t>relative aux droits de l</w:t>
      </w:r>
      <w:r w:rsidR="002257E9">
        <w:t>’</w:t>
      </w:r>
      <w:r w:rsidRPr="000B6220" w:rsidR="00922AC3">
        <w:t>homme des membres des forces armées</w:t>
      </w:r>
      <w:r w:rsidR="00C02221">
        <w:t>. Elle y</w:t>
      </w:r>
      <w:r w:rsidRPr="000B6220" w:rsidR="00922AC3">
        <w:t xml:space="preserve"> demande notamment aux Etats membre</w:t>
      </w:r>
      <w:r w:rsidRPr="000B6220" w:rsidR="00CD3EB7">
        <w:t>s</w:t>
      </w:r>
      <w:r w:rsidRPr="000B6220" w:rsidR="00922AC3">
        <w:t xml:space="preserve"> d</w:t>
      </w:r>
      <w:r w:rsidR="002257E9">
        <w:t>’</w:t>
      </w:r>
      <w:r w:rsidRPr="000B6220" w:rsidR="00922AC3">
        <w:t>introduire dans leurs législations respectives le droit à être enregistré en tant qu</w:t>
      </w:r>
      <w:r w:rsidR="002257E9">
        <w:t>’</w:t>
      </w:r>
      <w:r w:rsidRPr="000B6220" w:rsidR="00922AC3">
        <w:t>objecteur de conscience à tout moment ainsi que le droit pour les militaires de carrière de demander le statut d</w:t>
      </w:r>
      <w:r w:rsidR="002257E9">
        <w:t>’</w:t>
      </w:r>
      <w:r w:rsidRPr="000B6220" w:rsidR="00922AC3">
        <w:t>objecteur de conscience.</w:t>
      </w:r>
    </w:p>
    <w:p w:rsidRPr="000B6220" w:rsidR="00922AC3" w:rsidP="00E05F30" w:rsidRDefault="00922AC3">
      <w:pPr>
        <w:pStyle w:val="JuHi"/>
      </w:pPr>
      <w:r w:rsidRPr="000B6220">
        <w:t>i</w:t>
      </w:r>
      <w:r w:rsidR="00DF48AD">
        <w:t>i.</w:t>
      </w:r>
      <w:r w:rsidRPr="000B6220">
        <w:t>  Le Comité des Ministres</w:t>
      </w:r>
    </w:p>
    <w:p w:rsidR="00C27424" w:rsidP="00E05F30" w:rsidRDefault="00922AC3">
      <w:pPr>
        <w:pStyle w:val="JuPara"/>
      </w:pPr>
      <w:r w:rsidRPr="000B6220">
        <w:fldChar w:fldCharType="begin"/>
      </w:r>
      <w:r w:rsidRPr="000B6220">
        <w:instrText xml:space="preserve"> SEQ level0 \*arabic </w:instrText>
      </w:r>
      <w:r w:rsidRPr="000B6220">
        <w:fldChar w:fldCharType="separate"/>
      </w:r>
      <w:r w:rsidR="00226498">
        <w:rPr>
          <w:noProof/>
        </w:rPr>
        <w:t>54</w:t>
      </w:r>
      <w:r w:rsidRPr="000B6220">
        <w:fldChar w:fldCharType="end"/>
      </w:r>
      <w:r w:rsidRPr="000B6220">
        <w:t>.  </w:t>
      </w:r>
      <w:r w:rsidRPr="000B6220" w:rsidR="007D3BD9">
        <w:t>En 1987, le Co</w:t>
      </w:r>
      <w:r w:rsidR="00C02221">
        <w:t>mité des Ministres a adopté la R</w:t>
      </w:r>
      <w:r w:rsidRPr="000B6220" w:rsidR="007D3BD9">
        <w:t>ecommandation n</w:t>
      </w:r>
      <w:r w:rsidRPr="00E40C8E" w:rsidR="00E40C8E">
        <w:rPr>
          <w:vertAlign w:val="superscript"/>
        </w:rPr>
        <w:t>o</w:t>
      </w:r>
      <w:r w:rsidRPr="000B6220" w:rsidR="007D3BD9">
        <w:t xml:space="preserve"> R(87)8, </w:t>
      </w:r>
      <w:r w:rsidR="00C02221">
        <w:t>dans laquelle</w:t>
      </w:r>
      <w:r w:rsidRPr="000B6220" w:rsidR="007D3BD9">
        <w:t xml:space="preserve"> il recommande aux Etats membres de reconnaître le droit à l</w:t>
      </w:r>
      <w:r w:rsidR="002257E9">
        <w:t>’</w:t>
      </w:r>
      <w:r w:rsidRPr="000B6220" w:rsidR="007D3BD9">
        <w:t>objection de conscience et invite les gouvernements qui ne l</w:t>
      </w:r>
      <w:r w:rsidR="002257E9">
        <w:t>’</w:t>
      </w:r>
      <w:r w:rsidRPr="000B6220" w:rsidR="007D3BD9">
        <w:t>auraient pas encore fait à mettre leurs législation et pratique nationales en conformité avec le principe de base suivant :</w:t>
      </w:r>
    </w:p>
    <w:p w:rsidRPr="000B6220" w:rsidR="007D3BD9" w:rsidP="00E05F30" w:rsidRDefault="007D3BD9">
      <w:pPr>
        <w:pStyle w:val="JuQuot"/>
      </w:pPr>
      <w:r w:rsidRPr="000B6220">
        <w:t>« Toute personne soumise à l</w:t>
      </w:r>
      <w:r w:rsidR="002257E9">
        <w:t>’</w:t>
      </w:r>
      <w:r w:rsidRPr="000B6220">
        <w:t>obligation du service militaire qui, pour impérieux motifs de conscience, refuse de participer à l</w:t>
      </w:r>
      <w:r w:rsidR="002257E9">
        <w:t>’</w:t>
      </w:r>
      <w:r w:rsidR="00C01626">
        <w:t>usage des armes</w:t>
      </w:r>
      <w:r w:rsidRPr="000B6220">
        <w:t xml:space="preserve"> a le droit d</w:t>
      </w:r>
      <w:r w:rsidR="002257E9">
        <w:t>’</w:t>
      </w:r>
      <w:r w:rsidRPr="000B6220">
        <w:t>être dispensée de ce service (</w:t>
      </w:r>
      <w:r w:rsidR="00E40C8E">
        <w:t>...</w:t>
      </w:r>
      <w:r w:rsidRPr="000B6220">
        <w:t>) [et] peut être tenue d</w:t>
      </w:r>
      <w:r w:rsidR="002257E9">
        <w:t>’</w:t>
      </w:r>
      <w:r w:rsidRPr="000B6220">
        <w:t>accomplir un service de remplacement</w:t>
      </w:r>
      <w:r w:rsidRPr="000B6220" w:rsidR="00E550CE">
        <w:t> ;</w:t>
      </w:r>
      <w:r w:rsidRPr="000B6220">
        <w:t> »</w:t>
      </w:r>
    </w:p>
    <w:p w:rsidRPr="000B6220" w:rsidR="00422625" w:rsidP="00E05F30" w:rsidRDefault="007D3BD9">
      <w:pPr>
        <w:pStyle w:val="JuPara"/>
      </w:pPr>
      <w:r w:rsidRPr="000B6220">
        <w:fldChar w:fldCharType="begin"/>
      </w:r>
      <w:r w:rsidRPr="000B6220">
        <w:instrText xml:space="preserve"> SEQ level0 \*arabic </w:instrText>
      </w:r>
      <w:r w:rsidRPr="000B6220">
        <w:fldChar w:fldCharType="separate"/>
      </w:r>
      <w:r w:rsidR="00226498">
        <w:rPr>
          <w:noProof/>
        </w:rPr>
        <w:t>55</w:t>
      </w:r>
      <w:r w:rsidRPr="000B6220">
        <w:fldChar w:fldCharType="end"/>
      </w:r>
      <w:r w:rsidRPr="000B6220">
        <w:t>.  </w:t>
      </w:r>
      <w:r w:rsidRPr="000B6220" w:rsidR="00E550CE">
        <w:t xml:space="preserve">En 2010, le Comité des Ministres a adopté la Recommandation CM/Rec(2010)4, où il </w:t>
      </w:r>
      <w:r w:rsidRPr="000B6220" w:rsidR="00CD3EB7">
        <w:t>incite les</w:t>
      </w:r>
      <w:r w:rsidRPr="000B6220" w:rsidR="00E550CE">
        <w:t xml:space="preserve"> Etats membres </w:t>
      </w:r>
      <w:r w:rsidRPr="000B6220" w:rsidR="00CD3EB7">
        <w:t xml:space="preserve">à faire en sorte </w:t>
      </w:r>
      <w:r w:rsidRPr="000B6220" w:rsidR="00422625">
        <w:t>que les restrictions au droit des membres des forces armées à la liberté de pensée, de conscience et de religion répondent aux critères prévus par l</w:t>
      </w:r>
      <w:r w:rsidR="002257E9">
        <w:t>’</w:t>
      </w:r>
      <w:r w:rsidRPr="000B6220" w:rsidR="00422625">
        <w:t>article 9 § 2 de la Convention, que les appelés aient le droit d</w:t>
      </w:r>
      <w:r w:rsidR="002257E9">
        <w:t>’</w:t>
      </w:r>
      <w:r w:rsidRPr="000B6220" w:rsidR="00422625">
        <w:t>être enregistrés comme objecteur</w:t>
      </w:r>
      <w:r w:rsidRPr="000B6220" w:rsidR="00CD3EB7">
        <w:t>s</w:t>
      </w:r>
      <w:r w:rsidRPr="000B6220" w:rsidR="00422625">
        <w:t xml:space="preserve"> de conscience et qu</w:t>
      </w:r>
      <w:r w:rsidR="002257E9">
        <w:t>’</w:t>
      </w:r>
      <w:r w:rsidRPr="000B6220" w:rsidR="00422625">
        <w:t xml:space="preserve">un service </w:t>
      </w:r>
      <w:r w:rsidRPr="000B6220" w:rsidR="00CD3EB7">
        <w:t>de remplacement</w:t>
      </w:r>
      <w:r w:rsidRPr="000B6220" w:rsidR="00422625">
        <w:t xml:space="preserve"> de nature civile leur soit proposé. Dans l</w:t>
      </w:r>
      <w:r w:rsidR="002257E9">
        <w:t>’</w:t>
      </w:r>
      <w:r w:rsidRPr="000B6220" w:rsidR="00422625">
        <w:t>exposé des motifs relatif à cette recommandation, il est notamment indiqué :</w:t>
      </w:r>
    </w:p>
    <w:p w:rsidRPr="000B6220" w:rsidR="00422625" w:rsidP="00E05F30" w:rsidRDefault="00422625">
      <w:pPr>
        <w:pStyle w:val="JuQuot"/>
      </w:pPr>
      <w:r w:rsidRPr="000B6220">
        <w:t>« A ce jour, la Cour n</w:t>
      </w:r>
      <w:r w:rsidR="002257E9">
        <w:t>’</w:t>
      </w:r>
      <w:r w:rsidRPr="000B6220">
        <w:t>a pas reconnu le droit à l</w:t>
      </w:r>
      <w:r w:rsidR="002257E9">
        <w:t>’</w:t>
      </w:r>
      <w:r w:rsidRPr="000B6220">
        <w:t>objection de conscience comme étant couvert par l</w:t>
      </w:r>
      <w:r w:rsidR="002257E9">
        <w:t>’</w:t>
      </w:r>
      <w:r w:rsidRPr="000B6220">
        <w:t>article 9 de la Convention. On observe toutefois une tendance actuelle, au sein des instances internationales, à voir dans ce droit un élément constitutif de la liberté de conscience et de religion. »</w:t>
      </w:r>
    </w:p>
    <w:p w:rsidRPr="000B6220" w:rsidR="00922AC3" w:rsidP="00E05F30" w:rsidRDefault="002D362B">
      <w:pPr>
        <w:pStyle w:val="JuH1"/>
      </w:pPr>
      <w:r w:rsidRPr="000B6220">
        <w:t>2.  L</w:t>
      </w:r>
      <w:r w:rsidR="002257E9">
        <w:t>’</w:t>
      </w:r>
      <w:r w:rsidRPr="000B6220">
        <w:t>Union européenne</w:t>
      </w:r>
    </w:p>
    <w:p w:rsidRPr="000B6220" w:rsidR="002D362B" w:rsidP="00E05F30" w:rsidRDefault="002D362B">
      <w:pPr>
        <w:pStyle w:val="JuHa0"/>
      </w:pPr>
      <w:r w:rsidRPr="000B6220">
        <w:t>a)  Le Parlement européen</w:t>
      </w:r>
    </w:p>
    <w:p w:rsidRPr="000B6220" w:rsidR="00922AC3" w:rsidP="00E05F30" w:rsidRDefault="002D362B">
      <w:pPr>
        <w:pStyle w:val="JuPara"/>
      </w:pPr>
      <w:r w:rsidRPr="000B6220">
        <w:fldChar w:fldCharType="begin"/>
      </w:r>
      <w:r w:rsidRPr="000B6220">
        <w:instrText xml:space="preserve"> SEQ level0 \*arabic </w:instrText>
      </w:r>
      <w:r w:rsidRPr="000B6220">
        <w:fldChar w:fldCharType="separate"/>
      </w:r>
      <w:r w:rsidR="00226498">
        <w:rPr>
          <w:noProof/>
        </w:rPr>
        <w:t>56</w:t>
      </w:r>
      <w:r w:rsidRPr="000B6220">
        <w:fldChar w:fldCharType="end"/>
      </w:r>
      <w:r w:rsidRPr="000B6220">
        <w:t>.  </w:t>
      </w:r>
      <w:r w:rsidRPr="000B6220" w:rsidR="00DA294E">
        <w:t>Les principes élaborés par les organes du Conseil de l</w:t>
      </w:r>
      <w:r w:rsidR="002257E9">
        <w:t>’</w:t>
      </w:r>
      <w:r w:rsidRPr="000B6220" w:rsidR="00DA294E">
        <w:t xml:space="preserve">Europe </w:t>
      </w:r>
      <w:r w:rsidRPr="000B6220" w:rsidR="00CD3EB7">
        <w:t xml:space="preserve">se retrouvent dans </w:t>
      </w:r>
      <w:r w:rsidRPr="000B6220" w:rsidR="00DA294E">
        <w:t>les résolutions du Parlement européen du 7 février 1983, du 13 octobre 1989, du 11 mars 1993 et du 19 janvier</w:t>
      </w:r>
      <w:r w:rsidRPr="000B6220" w:rsidR="00CD3EB7">
        <w:t xml:space="preserve"> </w:t>
      </w:r>
      <w:r w:rsidRPr="000B6220" w:rsidR="00DA294E">
        <w:t xml:space="preserve">1994. Le Parlement européen a </w:t>
      </w:r>
      <w:r w:rsidRPr="000B6220" w:rsidR="00D353EF">
        <w:t>lui aussi</w:t>
      </w:r>
      <w:r w:rsidRPr="000B6220" w:rsidR="00DA294E">
        <w:t xml:space="preserve"> considéré que le droit à l</w:t>
      </w:r>
      <w:r w:rsidR="002257E9">
        <w:t>’</w:t>
      </w:r>
      <w:r w:rsidRPr="000B6220" w:rsidR="00DA294E">
        <w:t>objection de conscience faisait partie intégrante de la notion de liberté de pensée, de conscience et de religion garantie par l</w:t>
      </w:r>
      <w:r w:rsidR="002257E9">
        <w:t>’</w:t>
      </w:r>
      <w:r w:rsidRPr="000B6220" w:rsidR="00DA294E">
        <w:t>article 9 de la Convention, et a appelé les Etats membres de l</w:t>
      </w:r>
      <w:r w:rsidR="002257E9">
        <w:t>’</w:t>
      </w:r>
      <w:r w:rsidRPr="000B6220" w:rsidR="00DA294E">
        <w:t xml:space="preserve">Union européenne à </w:t>
      </w:r>
      <w:r w:rsidRPr="000B6220" w:rsidR="00CD3EB7">
        <w:t>ajouter</w:t>
      </w:r>
      <w:r w:rsidRPr="000B6220" w:rsidR="00DA294E">
        <w:t xml:space="preserve"> le droit à l</w:t>
      </w:r>
      <w:r w:rsidR="002257E9">
        <w:t>’</w:t>
      </w:r>
      <w:r w:rsidRPr="000B6220" w:rsidR="00DA294E">
        <w:t xml:space="preserve">objection de conscience </w:t>
      </w:r>
      <w:r w:rsidRPr="000B6220" w:rsidR="00D353EF">
        <w:t>aux</w:t>
      </w:r>
      <w:r w:rsidRPr="000B6220" w:rsidR="00DA294E">
        <w:t xml:space="preserve"> droits fondamentaux</w:t>
      </w:r>
      <w:r w:rsidRPr="000B6220" w:rsidR="00D353EF">
        <w:t xml:space="preserve"> énumérés dans leur système juridique</w:t>
      </w:r>
      <w:r w:rsidRPr="000B6220" w:rsidR="00DA294E">
        <w:t>.</w:t>
      </w:r>
    </w:p>
    <w:p w:rsidRPr="000B6220" w:rsidR="00533965" w:rsidP="00E05F30" w:rsidRDefault="00533965">
      <w:pPr>
        <w:pStyle w:val="JuHa0"/>
      </w:pPr>
      <w:r w:rsidRPr="000B6220">
        <w:t>b)  La Charte des droits fondamentaux de l</w:t>
      </w:r>
      <w:r w:rsidR="002257E9">
        <w:t>’</w:t>
      </w:r>
      <w:r w:rsidRPr="000B6220">
        <w:t>Union européenne</w:t>
      </w:r>
    </w:p>
    <w:p w:rsidRPr="000B6220" w:rsidR="00533965" w:rsidP="00E05F30" w:rsidRDefault="00533965">
      <w:pPr>
        <w:pStyle w:val="JuPara"/>
      </w:pPr>
      <w:r w:rsidRPr="000B6220">
        <w:fldChar w:fldCharType="begin"/>
      </w:r>
      <w:r w:rsidRPr="000B6220">
        <w:instrText xml:space="preserve"> SEQ level0 \*arabic </w:instrText>
      </w:r>
      <w:r w:rsidRPr="000B6220">
        <w:fldChar w:fldCharType="separate"/>
      </w:r>
      <w:r w:rsidR="00226498">
        <w:rPr>
          <w:noProof/>
        </w:rPr>
        <w:t>57</w:t>
      </w:r>
      <w:r w:rsidRPr="000B6220">
        <w:fldChar w:fldCharType="end"/>
      </w:r>
      <w:r w:rsidRPr="000B6220">
        <w:t>.  L</w:t>
      </w:r>
      <w:r w:rsidR="002257E9">
        <w:t>’</w:t>
      </w:r>
      <w:r w:rsidRPr="000B6220">
        <w:t xml:space="preserve">article 10 de la Charte, proclamée le 7 décembre 2000 et </w:t>
      </w:r>
      <w:r w:rsidR="00813C48">
        <w:t xml:space="preserve">entrée en vigueur le </w:t>
      </w:r>
      <w:r w:rsidRPr="000B6220">
        <w:t>1</w:t>
      </w:r>
      <w:r w:rsidRPr="000B6220">
        <w:rPr>
          <w:vertAlign w:val="superscript"/>
        </w:rPr>
        <w:t>er</w:t>
      </w:r>
      <w:r w:rsidRPr="000B6220" w:rsidR="00DA294E">
        <w:t> </w:t>
      </w:r>
      <w:r w:rsidRPr="000B6220">
        <w:t>décembre 2009, dispose :</w:t>
      </w:r>
    </w:p>
    <w:p w:rsidRPr="000B6220" w:rsidR="00533965" w:rsidP="00E05F30" w:rsidRDefault="00E40C8E">
      <w:pPr>
        <w:pStyle w:val="JuQuot"/>
      </w:pPr>
      <w:r>
        <w:t>« </w:t>
      </w:r>
      <w:r w:rsidRPr="000B6220" w:rsidR="00533965">
        <w:t>1.</w:t>
      </w:r>
      <w:r>
        <w:t>  </w:t>
      </w:r>
      <w:r w:rsidRPr="000B6220" w:rsidR="00533965">
        <w:t>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w:t>
      </w:r>
      <w:r w:rsidR="002257E9">
        <w:t>’</w:t>
      </w:r>
      <w:r w:rsidRPr="000B6220" w:rsidR="00533965">
        <w:t>enseignement, les pratiques et l</w:t>
      </w:r>
      <w:r w:rsidR="002257E9">
        <w:t>’</w:t>
      </w:r>
      <w:r w:rsidRPr="000B6220" w:rsidR="00533965">
        <w:t>accomplissement des rites.</w:t>
      </w:r>
    </w:p>
    <w:p w:rsidRPr="000B6220" w:rsidR="002D362B" w:rsidP="00E05F30" w:rsidRDefault="00E40C8E">
      <w:pPr>
        <w:pStyle w:val="JuQuot"/>
      </w:pPr>
      <w:r>
        <w:t>2.  </w:t>
      </w:r>
      <w:r w:rsidRPr="000B6220" w:rsidR="00533965">
        <w:t>Le droit à l</w:t>
      </w:r>
      <w:r w:rsidR="002257E9">
        <w:t>’</w:t>
      </w:r>
      <w:r w:rsidRPr="000B6220" w:rsidR="00533965">
        <w:t>objection de conscience est reconnu selon les lois nationales qui en régissent l</w:t>
      </w:r>
      <w:r w:rsidR="002257E9">
        <w:t>’</w:t>
      </w:r>
      <w:r w:rsidRPr="000B6220" w:rsidR="00533965">
        <w:t>exercice. »</w:t>
      </w:r>
    </w:p>
    <w:p w:rsidRPr="000B6220" w:rsidR="00533965" w:rsidP="00E05F30" w:rsidRDefault="00533965">
      <w:pPr>
        <w:pStyle w:val="JuHA"/>
      </w:pPr>
      <w:r w:rsidRPr="000B6220">
        <w:t>B.  Autres documents et pratique</w:t>
      </w:r>
      <w:r w:rsidRPr="000B6220" w:rsidR="00CD3EB7">
        <w:t>s</w:t>
      </w:r>
      <w:r w:rsidRPr="000B6220">
        <w:t xml:space="preserve"> internationaux</w:t>
      </w:r>
    </w:p>
    <w:p w:rsidRPr="000B6220" w:rsidR="00533965" w:rsidP="00E05F30" w:rsidRDefault="00533965">
      <w:pPr>
        <w:pStyle w:val="JuH1"/>
      </w:pPr>
      <w:r w:rsidRPr="000B6220">
        <w:t>1.  Les Nations unies</w:t>
      </w:r>
    </w:p>
    <w:p w:rsidRPr="000B6220" w:rsidR="00533965" w:rsidP="00E05F30" w:rsidRDefault="00533965">
      <w:pPr>
        <w:pStyle w:val="JuHa0"/>
      </w:pPr>
      <w:r w:rsidRPr="000B6220">
        <w:t>a)  La Commission des droits de l</w:t>
      </w:r>
      <w:r w:rsidR="002257E9">
        <w:t>’</w:t>
      </w:r>
      <w:r w:rsidRPr="000B6220">
        <w:t>homme</w:t>
      </w:r>
    </w:p>
    <w:p w:rsidRPr="000B6220" w:rsidR="00533965" w:rsidP="00E05F30" w:rsidRDefault="00533965">
      <w:pPr>
        <w:pStyle w:val="JuPara"/>
      </w:pPr>
      <w:r w:rsidRPr="000B6220">
        <w:fldChar w:fldCharType="begin"/>
      </w:r>
      <w:r w:rsidRPr="000B6220">
        <w:instrText xml:space="preserve"> SEQ level0 \*arabic </w:instrText>
      </w:r>
      <w:r w:rsidRPr="000B6220">
        <w:fldChar w:fldCharType="separate"/>
      </w:r>
      <w:r w:rsidR="00226498">
        <w:rPr>
          <w:noProof/>
        </w:rPr>
        <w:t>58</w:t>
      </w:r>
      <w:r w:rsidRPr="000B6220">
        <w:fldChar w:fldCharType="end"/>
      </w:r>
      <w:r w:rsidRPr="000B6220">
        <w:t>.  </w:t>
      </w:r>
      <w:r w:rsidR="00C02221">
        <w:t>Dans sa R</w:t>
      </w:r>
      <w:r w:rsidRPr="000B6220" w:rsidR="00BF1C49">
        <w:t>ésolution 1987/46, la Commission des droits de l</w:t>
      </w:r>
      <w:r w:rsidR="002257E9">
        <w:t>’</w:t>
      </w:r>
      <w:r w:rsidRPr="000B6220" w:rsidR="00BF1C49">
        <w:t>homme a appelé les Etats à reconnaître le droit à l</w:t>
      </w:r>
      <w:r w:rsidR="002257E9">
        <w:t>’</w:t>
      </w:r>
      <w:r w:rsidRPr="000B6220" w:rsidR="00BF1C49">
        <w:t>objection de conscience et à s</w:t>
      </w:r>
      <w:r w:rsidR="002257E9">
        <w:t>’</w:t>
      </w:r>
      <w:r w:rsidRPr="000B6220" w:rsidR="00BF1C49">
        <w:t>abstenir d</w:t>
      </w:r>
      <w:r w:rsidR="002257E9">
        <w:t>’</w:t>
      </w:r>
      <w:r w:rsidRPr="000B6220" w:rsidR="00BF1C49">
        <w:t>emprisonner les personnes exerçant c</w:t>
      </w:r>
      <w:r w:rsidR="00E060ED">
        <w:t>e droit. Par la suite, dans sa R</w:t>
      </w:r>
      <w:r w:rsidRPr="000B6220" w:rsidR="00BF1C49">
        <w:t xml:space="preserve">ésolution 1989/59, elle est allée plus loin et a elle-même reconnu </w:t>
      </w:r>
      <w:r w:rsidRPr="000B6220" w:rsidR="00CD3EB7">
        <w:rPr>
          <w:bCs/>
        </w:rPr>
        <w:t>le droit à</w:t>
      </w:r>
      <w:r w:rsidRPr="000B6220" w:rsidR="00BF1C49">
        <w:rPr>
          <w:bCs/>
        </w:rPr>
        <w:t xml:space="preserve"> l</w:t>
      </w:r>
      <w:r w:rsidR="002257E9">
        <w:rPr>
          <w:bCs/>
        </w:rPr>
        <w:t>’</w:t>
      </w:r>
      <w:r w:rsidRPr="000B6220" w:rsidR="00BF1C49">
        <w:rPr>
          <w:bCs/>
        </w:rPr>
        <w:t xml:space="preserve">objection de conscience </w:t>
      </w:r>
      <w:r w:rsidRPr="000B6220" w:rsidR="00CD3EB7">
        <w:rPr>
          <w:bCs/>
        </w:rPr>
        <w:t>comme</w:t>
      </w:r>
      <w:r w:rsidRPr="000B6220" w:rsidR="00BF1C49">
        <w:rPr>
          <w:bCs/>
        </w:rPr>
        <w:t xml:space="preserve"> un exercice légitime du droit à la liberté de pensée, de conscience et de religion</w:t>
      </w:r>
      <w:r w:rsidRPr="000B6220" w:rsidR="00BF1C49">
        <w:t xml:space="preserve"> garanti par l</w:t>
      </w:r>
      <w:r w:rsidR="002257E9">
        <w:t>’</w:t>
      </w:r>
      <w:r w:rsidRPr="000B6220" w:rsidR="00BF1C49">
        <w:t>article 18 de la Déclaration universelle des droits de l</w:t>
      </w:r>
      <w:r w:rsidR="002257E9">
        <w:t>’</w:t>
      </w:r>
      <w:r w:rsidRPr="000B6220" w:rsidR="00BF1C49">
        <w:t>homme et l</w:t>
      </w:r>
      <w:r w:rsidR="002257E9">
        <w:t>’</w:t>
      </w:r>
      <w:r w:rsidRPr="000B6220" w:rsidR="00BF1C49">
        <w:t>article 18 du Pacte international relatif aux droits civils et politiques (</w:t>
      </w:r>
      <w:r w:rsidRPr="000B6220" w:rsidR="00CD3EB7">
        <w:t>le « </w:t>
      </w:r>
      <w:r w:rsidRPr="000B6220" w:rsidR="00BF1C49">
        <w:t>PIDCP</w:t>
      </w:r>
      <w:r w:rsidRPr="000B6220" w:rsidR="00CD3EB7">
        <w:t> »</w:t>
      </w:r>
      <w:r w:rsidRPr="000B6220" w:rsidR="00BF1C49">
        <w:t>). D</w:t>
      </w:r>
      <w:r w:rsidR="002257E9">
        <w:t>’</w:t>
      </w:r>
      <w:r w:rsidRPr="000B6220" w:rsidR="00BF1C49">
        <w:t>autres</w:t>
      </w:r>
      <w:r w:rsidR="00E060ED">
        <w:t xml:space="preserve"> résolutions sur le sujet, les R</w:t>
      </w:r>
      <w:r w:rsidRPr="000B6220" w:rsidR="00BF1C49">
        <w:t>ésolutions 1993/84</w:t>
      </w:r>
      <w:r w:rsidRPr="000B6220" w:rsidR="00CD3EB7">
        <w:t>,</w:t>
      </w:r>
      <w:r w:rsidRPr="000B6220" w:rsidR="00BF1C49">
        <w:t xml:space="preserve"> 1995/83</w:t>
      </w:r>
      <w:r w:rsidRPr="000B6220" w:rsidR="00CD3EB7">
        <w:t xml:space="preserve"> et 1998/77</w:t>
      </w:r>
      <w:r w:rsidRPr="000B6220" w:rsidR="00BF1C49">
        <w:t xml:space="preserve">, ont confirmé et élargi les principes </w:t>
      </w:r>
      <w:r w:rsidRPr="000B6220" w:rsidR="00644F24">
        <w:t>déjà fixés</w:t>
      </w:r>
      <w:r w:rsidRPr="000B6220" w:rsidR="00BF1C49">
        <w:t xml:space="preserve">. Par la suite, la Commission a appelé à maintes reprises les Etats à revoir leurs lois et </w:t>
      </w:r>
      <w:r w:rsidRPr="000B6220" w:rsidR="00644F24">
        <w:t xml:space="preserve">leur </w:t>
      </w:r>
      <w:r w:rsidRPr="000B6220" w:rsidR="00BF1C49">
        <w:t>pratique à la lumière de</w:t>
      </w:r>
      <w:r w:rsidR="00E060ED">
        <w:t xml:space="preserve"> ses résolutions. Dans sa R</w:t>
      </w:r>
      <w:r w:rsidRPr="000B6220" w:rsidR="00BF1C49">
        <w:t>ésolution 2004/35, elle a de plus incité les Etats à envisager d</w:t>
      </w:r>
      <w:r w:rsidR="002257E9">
        <w:t>’</w:t>
      </w:r>
      <w:r w:rsidRPr="000B6220" w:rsidR="00BF1C49">
        <w:t>amnistie</w:t>
      </w:r>
      <w:r w:rsidRPr="000B6220" w:rsidR="001B2FCE">
        <w:t>r</w:t>
      </w:r>
      <w:r w:rsidRPr="000B6220" w:rsidR="00BF1C49">
        <w:t xml:space="preserve"> et </w:t>
      </w:r>
      <w:r w:rsidRPr="000B6220" w:rsidR="001B2FCE">
        <w:t>de</w:t>
      </w:r>
      <w:r w:rsidRPr="000B6220" w:rsidR="00BF1C49">
        <w:t xml:space="preserve"> réintégrer dans leurs droits les personnes ayant refusé d</w:t>
      </w:r>
      <w:r w:rsidR="002257E9">
        <w:t>’</w:t>
      </w:r>
      <w:r w:rsidRPr="000B6220" w:rsidR="00BF1C49">
        <w:t>effectuer leur service militaire pour des motifs de conscience.</w:t>
      </w:r>
    </w:p>
    <w:p w:rsidRPr="000B6220" w:rsidR="00533965" w:rsidP="00E05F30" w:rsidRDefault="00533965">
      <w:pPr>
        <w:pStyle w:val="JuHa0"/>
      </w:pPr>
      <w:r w:rsidRPr="000B6220">
        <w:t>b)  Le PIDCP et la pratique du Comité des dro</w:t>
      </w:r>
      <w:r w:rsidRPr="000B6220" w:rsidR="00D53183">
        <w:t>its de l</w:t>
      </w:r>
      <w:r w:rsidR="002257E9">
        <w:t>’</w:t>
      </w:r>
      <w:r w:rsidRPr="000B6220" w:rsidR="001B2FCE">
        <w:t>homme des Nations unies</w:t>
      </w:r>
    </w:p>
    <w:p w:rsidRPr="000B6220" w:rsidR="00533965" w:rsidP="00E05F30" w:rsidRDefault="00533965">
      <w:pPr>
        <w:pStyle w:val="JuPara"/>
      </w:pPr>
      <w:r w:rsidRPr="000B6220">
        <w:fldChar w:fldCharType="begin"/>
      </w:r>
      <w:r w:rsidRPr="000B6220">
        <w:instrText xml:space="preserve"> SEQ level0 \*arabic </w:instrText>
      </w:r>
      <w:r w:rsidRPr="000B6220">
        <w:fldChar w:fldCharType="separate"/>
      </w:r>
      <w:r w:rsidR="00226498">
        <w:rPr>
          <w:noProof/>
        </w:rPr>
        <w:t>59</w:t>
      </w:r>
      <w:r w:rsidRPr="000B6220">
        <w:fldChar w:fldCharType="end"/>
      </w:r>
      <w:r w:rsidRPr="000B6220">
        <w:t>.  </w:t>
      </w:r>
      <w:r w:rsidRPr="000B6220" w:rsidR="00D876B3">
        <w:t>Les dispositions pertinentes du PIDCP, adopté par l</w:t>
      </w:r>
      <w:r w:rsidR="002257E9">
        <w:t>’</w:t>
      </w:r>
      <w:r w:rsidRPr="000B6220" w:rsidR="00D876B3">
        <w:t>Assemblée géné</w:t>
      </w:r>
      <w:r w:rsidR="00527635">
        <w:t>rale des Nations unies dans sa R</w:t>
      </w:r>
      <w:r w:rsidR="00D21B53">
        <w:t>ésolution 2200 A (XXI) du 16 </w:t>
      </w:r>
      <w:r w:rsidRPr="000B6220" w:rsidR="00D876B3">
        <w:t>décembre 1966, entré en vigueur le 23 mars 1976 et ratifié par l</w:t>
      </w:r>
      <w:r w:rsidR="002257E9">
        <w:t>’</w:t>
      </w:r>
      <w:r w:rsidR="00C27424">
        <w:t xml:space="preserve">Arménie le 23 </w:t>
      </w:r>
      <w:r w:rsidRPr="000B6220" w:rsidR="00D876B3">
        <w:t>juin 1993, sont ainsi libellées :</w:t>
      </w:r>
    </w:p>
    <w:p w:rsidRPr="000B6220" w:rsidR="00533965" w:rsidP="00527635" w:rsidRDefault="00533965">
      <w:pPr>
        <w:pStyle w:val="JuHArticle"/>
      </w:pPr>
      <w:r w:rsidRPr="000B6220">
        <w:t>Article 8</w:t>
      </w:r>
    </w:p>
    <w:p w:rsidRPr="000B6220" w:rsidR="00D876B3" w:rsidP="00E05F30" w:rsidRDefault="00D876B3">
      <w:pPr>
        <w:pStyle w:val="JuQuot"/>
      </w:pPr>
      <w:r w:rsidRPr="000B6220">
        <w:t>« (</w:t>
      </w:r>
      <w:r w:rsidR="00E40C8E">
        <w:t>...</w:t>
      </w:r>
      <w:r w:rsidRPr="000B6220">
        <w:t>) 3. a) Nul ne sera astreint à accomplir un travail forcé ou obligatoire ; (</w:t>
      </w:r>
      <w:r w:rsidR="00E40C8E">
        <w:t>...</w:t>
      </w:r>
      <w:r w:rsidRPr="000B6220">
        <w:t>)</w:t>
      </w:r>
    </w:p>
    <w:p w:rsidRPr="000B6220" w:rsidR="00D876B3" w:rsidP="00E05F30" w:rsidRDefault="00795BB4">
      <w:pPr>
        <w:pStyle w:val="JuQuot"/>
      </w:pPr>
      <w:r>
        <w:t>c) </w:t>
      </w:r>
      <w:r w:rsidRPr="000B6220" w:rsidR="00D876B3">
        <w:t>N</w:t>
      </w:r>
      <w:r w:rsidR="002257E9">
        <w:t>’</w:t>
      </w:r>
      <w:r w:rsidRPr="000B6220" w:rsidR="00D876B3">
        <w:t>est pas considéré comme « travail forcé ou obligatoire » au sens du présent paragraphe : (</w:t>
      </w:r>
      <w:r w:rsidR="00E40C8E">
        <w:t>...</w:t>
      </w:r>
      <w:r w:rsidRPr="000B6220" w:rsidR="00D876B3">
        <w:t>)</w:t>
      </w:r>
    </w:p>
    <w:p w:rsidRPr="000B6220" w:rsidR="00D876B3" w:rsidP="00E05F30" w:rsidRDefault="00795BB4">
      <w:pPr>
        <w:pStyle w:val="JuQuot"/>
      </w:pPr>
      <w:r>
        <w:t>ii) </w:t>
      </w:r>
      <w:r w:rsidRPr="000B6220" w:rsidR="00D876B3">
        <w:t>Tout service de caractère militaire et, dans les pays où l</w:t>
      </w:r>
      <w:r w:rsidR="002257E9">
        <w:t>’</w:t>
      </w:r>
      <w:r w:rsidRPr="000B6220" w:rsidR="00D876B3">
        <w:t>objection de conscience est admise, tout service national exigé des objecteurs de conscience en vertu de la loi ; (</w:t>
      </w:r>
      <w:r w:rsidR="00E40C8E">
        <w:t>...</w:t>
      </w:r>
      <w:r w:rsidRPr="000B6220" w:rsidR="00D876B3">
        <w:t>) »</w:t>
      </w:r>
    </w:p>
    <w:p w:rsidRPr="000B6220" w:rsidR="00533965" w:rsidP="00527635" w:rsidRDefault="00533965">
      <w:pPr>
        <w:pStyle w:val="JuHArticle"/>
      </w:pPr>
      <w:r w:rsidRPr="000B6220">
        <w:t>Article 18</w:t>
      </w:r>
    </w:p>
    <w:p w:rsidR="00C27424" w:rsidP="00E05F30" w:rsidRDefault="00E40C8E">
      <w:pPr>
        <w:pStyle w:val="JuQuot"/>
      </w:pPr>
      <w:r>
        <w:t>« 1.  </w:t>
      </w:r>
      <w:r w:rsidRPr="000B6220" w:rsidR="00D876B3">
        <w:t>Toute personne a droit à la liberté de pensée, de conscience et de religio</w:t>
      </w:r>
      <w:r w:rsidRPr="000B6220" w:rsidR="001B2FCE">
        <w:t>n ;</w:t>
      </w:r>
      <w:r w:rsidRPr="000B6220" w:rsidR="00D876B3">
        <w:t xml:space="preserve"> ce droit implique la liberté d</w:t>
      </w:r>
      <w:r w:rsidR="002257E9">
        <w:t>’</w:t>
      </w:r>
      <w:r w:rsidRPr="000B6220" w:rsidR="00D876B3">
        <w:t>avoir ou d</w:t>
      </w:r>
      <w:r w:rsidR="002257E9">
        <w:t>’</w:t>
      </w:r>
      <w:r w:rsidRPr="000B6220" w:rsidR="00D876B3">
        <w:t>adopter une religion ou une conviction de son choix, ainsi que la liberté de manifester sa religion ou sa conviction, individuellement ou en commun, tant en public qu</w:t>
      </w:r>
      <w:r w:rsidR="002257E9">
        <w:t>’</w:t>
      </w:r>
      <w:r w:rsidRPr="000B6220" w:rsidR="00D876B3">
        <w:t>en privé, par le culte et l</w:t>
      </w:r>
      <w:r w:rsidR="002257E9">
        <w:t>’</w:t>
      </w:r>
      <w:r w:rsidRPr="000B6220" w:rsidR="00D876B3">
        <w:t>accomplissement des rites, les pratiques et l</w:t>
      </w:r>
      <w:r w:rsidR="002257E9">
        <w:t>’</w:t>
      </w:r>
      <w:r w:rsidRPr="000B6220" w:rsidR="00D876B3">
        <w:t>enseignement.</w:t>
      </w:r>
    </w:p>
    <w:p w:rsidRPr="000B6220" w:rsidR="00D876B3" w:rsidP="00E05F30" w:rsidRDefault="00D876B3">
      <w:pPr>
        <w:pStyle w:val="JuQuot"/>
      </w:pPr>
      <w:r w:rsidRPr="000B6220">
        <w:t>(</w:t>
      </w:r>
      <w:r w:rsidR="00E40C8E">
        <w:t>...</w:t>
      </w:r>
      <w:r w:rsidRPr="000B6220">
        <w:t>) »</w:t>
      </w:r>
    </w:p>
    <w:p w:rsidRPr="000B6220" w:rsidR="00533965" w:rsidP="00E05F30" w:rsidRDefault="00533965">
      <w:pPr>
        <w:pStyle w:val="JuPara"/>
      </w:pPr>
      <w:r w:rsidRPr="000B6220">
        <w:fldChar w:fldCharType="begin"/>
      </w:r>
      <w:r w:rsidRPr="000B6220">
        <w:instrText xml:space="preserve"> SEQ level0 \*arabic </w:instrText>
      </w:r>
      <w:r w:rsidRPr="000B6220">
        <w:fldChar w:fldCharType="separate"/>
      </w:r>
      <w:r w:rsidR="00226498">
        <w:rPr>
          <w:noProof/>
        </w:rPr>
        <w:t>60</w:t>
      </w:r>
      <w:r w:rsidRPr="000B6220">
        <w:fldChar w:fldCharType="end"/>
      </w:r>
      <w:r w:rsidRPr="000B6220">
        <w:t>.  </w:t>
      </w:r>
      <w:r w:rsidRPr="000B6220" w:rsidR="00D876B3">
        <w:t xml:space="preserve">Le </w:t>
      </w:r>
      <w:r w:rsidRPr="000B6220" w:rsidR="00D53183">
        <w:t>Comité des droits de l</w:t>
      </w:r>
      <w:r w:rsidR="002257E9">
        <w:t>’</w:t>
      </w:r>
      <w:r w:rsidRPr="000B6220" w:rsidR="00D53183">
        <w:t>homme</w:t>
      </w:r>
      <w:r w:rsidRPr="000B6220" w:rsidR="00D876B3">
        <w:t>, l</w:t>
      </w:r>
      <w:r w:rsidR="002257E9">
        <w:t>’</w:t>
      </w:r>
      <w:r w:rsidRPr="000B6220" w:rsidR="00D876B3">
        <w:t xml:space="preserve">organe qui </w:t>
      </w:r>
      <w:r w:rsidRPr="000B6220" w:rsidR="00D353EF">
        <w:t>surveille l</w:t>
      </w:r>
      <w:r w:rsidR="002257E9">
        <w:t>’</w:t>
      </w:r>
      <w:r w:rsidRPr="000B6220" w:rsidR="00D353EF">
        <w:t xml:space="preserve">application </w:t>
      </w:r>
      <w:r w:rsidRPr="000B6220" w:rsidR="00D876B3">
        <w:t xml:space="preserve">du PIDCP, a dans un premier temps, lors de son examen de </w:t>
      </w:r>
      <w:r w:rsidR="00527635">
        <w:t>plaintes</w:t>
      </w:r>
      <w:r w:rsidRPr="000B6220" w:rsidR="00D876B3">
        <w:t xml:space="preserve"> individuel</w:t>
      </w:r>
      <w:r w:rsidR="00527635">
        <w:t>le</w:t>
      </w:r>
      <w:r w:rsidRPr="000B6220" w:rsidR="00D876B3">
        <w:t>s, estimé que le P</w:t>
      </w:r>
      <w:r w:rsidRPr="000B6220" w:rsidR="00D353EF">
        <w:t>IDCP –</w:t>
      </w:r>
      <w:r w:rsidRPr="000B6220" w:rsidR="00D876B3">
        <w:t xml:space="preserve"> et notamment l</w:t>
      </w:r>
      <w:r w:rsidR="002257E9">
        <w:t>’</w:t>
      </w:r>
      <w:r w:rsidRPr="000B6220" w:rsidR="00D353EF">
        <w:t>article 18 de celui-ci –</w:t>
      </w:r>
      <w:r w:rsidRPr="000B6220" w:rsidR="00D876B3">
        <w:t xml:space="preserve"> ne garantissait pas le droit à l</w:t>
      </w:r>
      <w:r w:rsidR="002257E9">
        <w:t>’</w:t>
      </w:r>
      <w:r w:rsidRPr="000B6220" w:rsidR="00D876B3">
        <w:t>objection de conscience</w:t>
      </w:r>
      <w:r w:rsidR="0049125B">
        <w:t>, spécialement si l</w:t>
      </w:r>
      <w:r w:rsidR="002257E9">
        <w:t>’</w:t>
      </w:r>
      <w:r w:rsidR="0049125B">
        <w:t xml:space="preserve">on tenait compte du </w:t>
      </w:r>
      <w:r w:rsidR="00AC3FDD">
        <w:t xml:space="preserve">libellé de </w:t>
      </w:r>
      <w:r w:rsidRPr="000B6220" w:rsidR="00D876B3">
        <w:t>l</w:t>
      </w:r>
      <w:r w:rsidR="002257E9">
        <w:t>’</w:t>
      </w:r>
      <w:r w:rsidRPr="000B6220" w:rsidR="00D876B3">
        <w:t xml:space="preserve">article 8 § 3 c) ii). Il a déclaré </w:t>
      </w:r>
      <w:r w:rsidRPr="000B6220" w:rsidR="001B2FCE">
        <w:t>un</w:t>
      </w:r>
      <w:r w:rsidR="00527635">
        <w:t>e</w:t>
      </w:r>
      <w:r w:rsidRPr="000B6220" w:rsidR="00D876B3">
        <w:t xml:space="preserve"> </w:t>
      </w:r>
      <w:r w:rsidR="00527635">
        <w:t>plainte</w:t>
      </w:r>
      <w:r w:rsidRPr="000B6220" w:rsidR="00D876B3">
        <w:t xml:space="preserve"> soumis</w:t>
      </w:r>
      <w:r w:rsidR="00527635">
        <w:t>e</w:t>
      </w:r>
      <w:r w:rsidRPr="000B6220" w:rsidR="00D876B3">
        <w:t xml:space="preserve"> par un objecteur de conscience finlandais </w:t>
      </w:r>
      <w:r w:rsidRPr="000B6220" w:rsidR="001B2FCE">
        <w:t xml:space="preserve">irrecevable </w:t>
      </w:r>
      <w:r w:rsidRPr="000B6220" w:rsidR="00D876B3">
        <w:t>pour incompatibilité avec les dispositions du PIDCP (</w:t>
      </w:r>
      <w:r w:rsidRPr="004365F9" w:rsidR="00C27424">
        <w:t>L.T.K. </w:t>
      </w:r>
      <w:r w:rsidRPr="004365F9" w:rsidR="0049125B">
        <w:t>c. </w:t>
      </w:r>
      <w:r w:rsidRPr="004365F9" w:rsidR="005B741C">
        <w:t>Finlande</w:t>
      </w:r>
      <w:r w:rsidRPr="000B6220" w:rsidR="005B741C">
        <w:t>, communication n</w:t>
      </w:r>
      <w:r w:rsidRPr="00E40C8E" w:rsidR="00E40C8E">
        <w:rPr>
          <w:vertAlign w:val="superscript"/>
        </w:rPr>
        <w:t>o</w:t>
      </w:r>
      <w:r w:rsidRPr="000B6220" w:rsidR="005B741C">
        <w:t xml:space="preserve"> 185/1984, </w:t>
      </w:r>
      <w:r w:rsidR="00C27424">
        <w:t xml:space="preserve">CCPR/C/25/D/185/1984, 9 juillet </w:t>
      </w:r>
      <w:r w:rsidRPr="000B6220" w:rsidR="005B741C">
        <w:t>1985).</w:t>
      </w:r>
    </w:p>
    <w:p w:rsidRPr="000B6220" w:rsidR="005B741C" w:rsidP="00E05F30" w:rsidRDefault="005B741C">
      <w:pPr>
        <w:pStyle w:val="JuPara"/>
      </w:pPr>
      <w:r w:rsidRPr="000B6220">
        <w:fldChar w:fldCharType="begin"/>
      </w:r>
      <w:r w:rsidRPr="000B6220">
        <w:instrText xml:space="preserve"> SEQ level0 \*arabic </w:instrText>
      </w:r>
      <w:r w:rsidRPr="000B6220">
        <w:fldChar w:fldCharType="separate"/>
      </w:r>
      <w:r w:rsidR="00226498">
        <w:rPr>
          <w:noProof/>
        </w:rPr>
        <w:t>61</w:t>
      </w:r>
      <w:r w:rsidRPr="000B6220">
        <w:fldChar w:fldCharType="end"/>
      </w:r>
      <w:r w:rsidRPr="000B6220">
        <w:t>.  </w:t>
      </w:r>
      <w:r w:rsidRPr="000B6220" w:rsidR="00941661">
        <w:t xml:space="preserve">Le </w:t>
      </w:r>
      <w:r w:rsidR="00527635">
        <w:t xml:space="preserve">Comité a </w:t>
      </w:r>
      <w:r w:rsidR="007D0627">
        <w:t xml:space="preserve">pour la première fois infléchi sa </w:t>
      </w:r>
      <w:r w:rsidR="00527635">
        <w:t xml:space="preserve">position </w:t>
      </w:r>
      <w:r w:rsidRPr="000B6220" w:rsidR="00941661">
        <w:t xml:space="preserve">dans sa décision du 7 novembre 1991 </w:t>
      </w:r>
      <w:r w:rsidRPr="000B6220" w:rsidR="001B2FCE">
        <w:t xml:space="preserve">rendue </w:t>
      </w:r>
      <w:r w:rsidRPr="000B6220" w:rsidR="00941661">
        <w:t>en l</w:t>
      </w:r>
      <w:r w:rsidR="002257E9">
        <w:t>’</w:t>
      </w:r>
      <w:r w:rsidRPr="000B6220" w:rsidR="00941661">
        <w:t xml:space="preserve">affaire </w:t>
      </w:r>
      <w:r w:rsidRPr="004365F9" w:rsidR="00941661">
        <w:t>J.P. c. Canada</w:t>
      </w:r>
      <w:r w:rsidRPr="000B6220" w:rsidR="00941661">
        <w:t xml:space="preserve">, où il a admis pour la première fois, </w:t>
      </w:r>
      <w:r w:rsidRPr="000B6220" w:rsidR="001B2FCE">
        <w:t>quoiqu</w:t>
      </w:r>
      <w:r w:rsidR="002257E9">
        <w:t>’</w:t>
      </w:r>
      <w:r w:rsidRPr="000B6220" w:rsidR="00941661">
        <w:t>à titre d</w:t>
      </w:r>
      <w:r w:rsidR="002257E9">
        <w:t>’</w:t>
      </w:r>
      <w:r w:rsidRPr="000B6220" w:rsidR="00941661">
        <w:t xml:space="preserve">observation incidente, que </w:t>
      </w:r>
      <w:r w:rsidRPr="000B6220" w:rsidR="00D53183">
        <w:t>« l</w:t>
      </w:r>
      <w:r w:rsidR="002257E9">
        <w:t>’</w:t>
      </w:r>
      <w:r w:rsidRPr="000B6220" w:rsidR="00D53183">
        <w:t>article 18 du Pacte protège incontestablement le droit d</w:t>
      </w:r>
      <w:r w:rsidR="002257E9">
        <w:t>’</w:t>
      </w:r>
      <w:r w:rsidRPr="000B6220" w:rsidR="00D53183">
        <w:t>avoir, d</w:t>
      </w:r>
      <w:r w:rsidR="002257E9">
        <w:t>’</w:t>
      </w:r>
      <w:r w:rsidRPr="000B6220" w:rsidR="00D53183">
        <w:t>exprimer et de diffuser des opinions et des convictions, y compris le droit à l</w:t>
      </w:r>
      <w:r w:rsidR="002257E9">
        <w:t>’</w:t>
      </w:r>
      <w:r w:rsidRPr="000B6220" w:rsidR="00D53183">
        <w:t>objection de conscience aux activités et aux dépenses militaires »</w:t>
      </w:r>
      <w:r w:rsidRPr="000B6220" w:rsidR="00941661">
        <w:t xml:space="preserve"> (</w:t>
      </w:r>
      <w:r w:rsidRPr="000B6220" w:rsidR="00D53183">
        <w:t>c</w:t>
      </w:r>
      <w:r w:rsidRPr="000B6220" w:rsidR="00941661">
        <w:t>ommunication n</w:t>
      </w:r>
      <w:r w:rsidRPr="00E40C8E" w:rsidR="00E40C8E">
        <w:rPr>
          <w:vertAlign w:val="superscript"/>
        </w:rPr>
        <w:t>o</w:t>
      </w:r>
      <w:r w:rsidRPr="000B6220" w:rsidR="00941661">
        <w:t xml:space="preserve"> 446/1991, CCPR/C/43/D/446/1991</w:t>
      </w:r>
      <w:r w:rsidRPr="000B6220" w:rsidR="001B2FCE">
        <w:t>, 7 novembre 1991</w:t>
      </w:r>
      <w:r w:rsidRPr="000B6220" w:rsidR="00941661">
        <w:t>).</w:t>
      </w:r>
    </w:p>
    <w:p w:rsidRPr="000B6220" w:rsidR="00D53183" w:rsidP="00E05F30" w:rsidRDefault="00D53183">
      <w:pPr>
        <w:pStyle w:val="JuPara"/>
      </w:pPr>
      <w:r w:rsidRPr="000B6220">
        <w:fldChar w:fldCharType="begin"/>
      </w:r>
      <w:r w:rsidRPr="000B6220">
        <w:instrText xml:space="preserve"> SEQ level0 \*arabic </w:instrText>
      </w:r>
      <w:r w:rsidRPr="000B6220">
        <w:fldChar w:fldCharType="separate"/>
      </w:r>
      <w:r w:rsidR="00226498">
        <w:rPr>
          <w:noProof/>
        </w:rPr>
        <w:t>62</w:t>
      </w:r>
      <w:r w:rsidRPr="000B6220">
        <w:fldChar w:fldCharType="end"/>
      </w:r>
      <w:r w:rsidRPr="000B6220">
        <w:t>.  En 1993, le Comité a adopté son observation générale n</w:t>
      </w:r>
      <w:r w:rsidRPr="00E40C8E" w:rsidR="00E40C8E">
        <w:rPr>
          <w:vertAlign w:val="superscript"/>
        </w:rPr>
        <w:t>o</w:t>
      </w:r>
      <w:r w:rsidR="00C27424">
        <w:t xml:space="preserve"> </w:t>
      </w:r>
      <w:r w:rsidRPr="000B6220">
        <w:t>22 sur l</w:t>
      </w:r>
      <w:r w:rsidR="002257E9">
        <w:t>’</w:t>
      </w:r>
      <w:r w:rsidRPr="000B6220">
        <w:t xml:space="preserve">article 18, où il donne </w:t>
      </w:r>
      <w:r w:rsidRPr="000B6220" w:rsidR="001B2FCE">
        <w:t xml:space="preserve">notamment </w:t>
      </w:r>
      <w:r w:rsidRPr="000B6220">
        <w:t>l</w:t>
      </w:r>
      <w:r w:rsidR="002257E9">
        <w:t>’</w:t>
      </w:r>
      <w:r w:rsidRPr="000B6220">
        <w:t>interprétation suivante de cette disposition :</w:t>
      </w:r>
    </w:p>
    <w:p w:rsidRPr="000B6220" w:rsidR="00D53183" w:rsidP="00E05F30" w:rsidRDefault="00D53183">
      <w:pPr>
        <w:pStyle w:val="JuQuot"/>
      </w:pPr>
      <w:r w:rsidRPr="000B6220">
        <w:t>« 11.  (</w:t>
      </w:r>
      <w:r w:rsidR="00E40C8E">
        <w:t>...</w:t>
      </w:r>
      <w:r w:rsidRPr="000B6220">
        <w:t>) Le Pacte ne mentionne pas explicitement un droit à l</w:t>
      </w:r>
      <w:r w:rsidR="002257E9">
        <w:t>’</w:t>
      </w:r>
      <w:r w:rsidRPr="000B6220">
        <w:t>objection de conscience, mais le Comité estime qu</w:t>
      </w:r>
      <w:r w:rsidR="002257E9">
        <w:t>’</w:t>
      </w:r>
      <w:r w:rsidRPr="000B6220">
        <w:t>un tel droit peut être déduit de l</w:t>
      </w:r>
      <w:r w:rsidR="002257E9">
        <w:t>’</w:t>
      </w:r>
      <w:r w:rsidRPr="000B6220">
        <w:t>article 18, dans la mesure où l</w:t>
      </w:r>
      <w:r w:rsidR="002257E9">
        <w:t>’</w:t>
      </w:r>
      <w:r w:rsidRPr="000B6220">
        <w:t>obligation d</w:t>
      </w:r>
      <w:r w:rsidR="002257E9">
        <w:t>’</w:t>
      </w:r>
      <w:r w:rsidRPr="000B6220">
        <w:t>employer la force au prix de vies humaines peut être gravement en conflit avec la liberté de conscience et le droit de manifester sa religion ou ses convictions. (</w:t>
      </w:r>
      <w:r w:rsidR="00E40C8E">
        <w:t>...</w:t>
      </w:r>
      <w:r w:rsidRPr="000B6220">
        <w:t>) »</w:t>
      </w:r>
    </w:p>
    <w:p w:rsidRPr="000B6220" w:rsidR="00E253B4" w:rsidP="00E05F30" w:rsidRDefault="008A0D05">
      <w:pPr>
        <w:pStyle w:val="JuPara"/>
      </w:pPr>
      <w:r w:rsidRPr="000B6220">
        <w:fldChar w:fldCharType="begin"/>
      </w:r>
      <w:r w:rsidRPr="000B6220">
        <w:instrText xml:space="preserve"> SEQ level0 \*arabic </w:instrText>
      </w:r>
      <w:r w:rsidRPr="000B6220">
        <w:fldChar w:fldCharType="separate"/>
      </w:r>
      <w:r w:rsidR="00226498">
        <w:rPr>
          <w:noProof/>
        </w:rPr>
        <w:t>63</w:t>
      </w:r>
      <w:r w:rsidRPr="000B6220">
        <w:fldChar w:fldCharType="end"/>
      </w:r>
      <w:r w:rsidRPr="000B6220">
        <w:t>.  </w:t>
      </w:r>
      <w:r w:rsidR="001A5FB2">
        <w:t>U</w:t>
      </w:r>
      <w:r w:rsidRPr="000B6220" w:rsidR="00E253B4">
        <w:t xml:space="preserve">ne </w:t>
      </w:r>
      <w:r w:rsidRPr="000B6220" w:rsidR="001B2FCE">
        <w:t>nouvelle</w:t>
      </w:r>
      <w:r w:rsidRPr="000B6220" w:rsidR="00E253B4">
        <w:t xml:space="preserve"> évolution de la position du Comité </w:t>
      </w:r>
      <w:r w:rsidR="001A5FB2">
        <w:t xml:space="preserve">se manifeste </w:t>
      </w:r>
      <w:r w:rsidRPr="000B6220" w:rsidR="00E253B4">
        <w:t xml:space="preserve">dans </w:t>
      </w:r>
      <w:r w:rsidRPr="000B6220" w:rsidR="001B2FCE">
        <w:t xml:space="preserve">ses constatations relatives aux </w:t>
      </w:r>
      <w:r w:rsidRPr="000B6220" w:rsidR="00E253B4">
        <w:t xml:space="preserve">affaires </w:t>
      </w:r>
      <w:r w:rsidRPr="004365F9" w:rsidR="00E253B4">
        <w:t xml:space="preserve">Yeo-Bum Yoon c. République de Corée </w:t>
      </w:r>
      <w:r w:rsidRPr="000B6220" w:rsidR="00E253B4">
        <w:t xml:space="preserve">et </w:t>
      </w:r>
      <w:r w:rsidR="001179AB">
        <w:t xml:space="preserve">Myung-Jin Choi c. </w:t>
      </w:r>
      <w:r w:rsidRPr="004365F9" w:rsidR="00E253B4">
        <w:t>République de Corée</w:t>
      </w:r>
      <w:r w:rsidR="001577E2">
        <w:t xml:space="preserve"> </w:t>
      </w:r>
      <w:r w:rsidRPr="000B6220" w:rsidR="001179AB">
        <w:t>(communications n</w:t>
      </w:r>
      <w:r w:rsidRPr="000B6220" w:rsidR="001179AB">
        <w:rPr>
          <w:vertAlign w:val="superscript"/>
        </w:rPr>
        <w:t>os</w:t>
      </w:r>
      <w:r w:rsidR="001179AB">
        <w:t> </w:t>
      </w:r>
      <w:r w:rsidRPr="000B6220" w:rsidR="001179AB">
        <w:t>1321/2004 et 1322/2004, CCPR/C/88/D/1321-</w:t>
      </w:r>
      <w:r w:rsidR="001179AB">
        <w:t>1322/2004, 23 janvier 2007)</w:t>
      </w:r>
      <w:r w:rsidRPr="000B6220" w:rsidR="00E253B4">
        <w:t xml:space="preserve">, où </w:t>
      </w:r>
      <w:r w:rsidR="004C269C">
        <w:t>le Comité</w:t>
      </w:r>
      <w:r w:rsidRPr="000B6220" w:rsidR="00E253B4">
        <w:t xml:space="preserve"> a pour la première fois examiné des </w:t>
      </w:r>
      <w:r w:rsidRPr="000B6220" w:rsidR="001B2FCE">
        <w:t>communications</w:t>
      </w:r>
      <w:r w:rsidRPr="000B6220" w:rsidR="00E253B4">
        <w:t xml:space="preserve"> émanant de témoins de Jéhovah condamnés à des peines d</w:t>
      </w:r>
      <w:r w:rsidR="002257E9">
        <w:t>’</w:t>
      </w:r>
      <w:r w:rsidRPr="000B6220" w:rsidR="00E253B4">
        <w:t xml:space="preserve">emprisonnement </w:t>
      </w:r>
      <w:r w:rsidRPr="000B6220" w:rsidR="001B2FCE">
        <w:t xml:space="preserve">et </w:t>
      </w:r>
      <w:r w:rsidRPr="000B6220" w:rsidR="00E253B4">
        <w:t>dirigées contre un pays où le droit à l</w:t>
      </w:r>
      <w:r w:rsidR="002257E9">
        <w:t>’</w:t>
      </w:r>
      <w:r w:rsidRPr="000B6220" w:rsidR="00E253B4">
        <w:t>objection de conscience n</w:t>
      </w:r>
      <w:r w:rsidR="002257E9">
        <w:t>’</w:t>
      </w:r>
      <w:r w:rsidRPr="000B6220" w:rsidR="001B2FCE">
        <w:t>était</w:t>
      </w:r>
      <w:r w:rsidRPr="000B6220" w:rsidR="00E253B4">
        <w:t xml:space="preserve"> pas reconnu. Le Comité a déclaré :</w:t>
      </w:r>
    </w:p>
    <w:p w:rsidRPr="000B6220" w:rsidR="00EF1490" w:rsidP="00E05F30" w:rsidRDefault="00E253B4">
      <w:pPr>
        <w:pStyle w:val="JuQuot"/>
      </w:pPr>
      <w:r w:rsidRPr="000B6220">
        <w:t xml:space="preserve">« 8.2.  Le Comité </w:t>
      </w:r>
      <w:r w:rsidRPr="000B6220" w:rsidR="006C2398">
        <w:t>(</w:t>
      </w:r>
      <w:r w:rsidR="00E40C8E">
        <w:t>...</w:t>
      </w:r>
      <w:r w:rsidRPr="000B6220" w:rsidR="006C2398">
        <w:t>)</w:t>
      </w:r>
      <w:r w:rsidRPr="000B6220">
        <w:t xml:space="preserve"> note </w:t>
      </w:r>
      <w:r w:rsidRPr="000B6220" w:rsidR="006C2398">
        <w:t>(</w:t>
      </w:r>
      <w:r w:rsidR="00E40C8E">
        <w:t>...</w:t>
      </w:r>
      <w:r w:rsidRPr="000B6220" w:rsidR="006C2398">
        <w:t>)</w:t>
      </w:r>
      <w:r w:rsidRPr="000B6220" w:rsidR="00C96191">
        <w:t xml:space="preserve"> </w:t>
      </w:r>
      <w:r w:rsidRPr="000B6220" w:rsidR="00EF1490">
        <w:t>que le paragraphe 3 de l</w:t>
      </w:r>
      <w:r w:rsidR="002257E9">
        <w:t>’</w:t>
      </w:r>
      <w:r w:rsidRPr="000B6220" w:rsidR="00EF1490">
        <w:t>article 8 d</w:t>
      </w:r>
      <w:r w:rsidRPr="000B6220" w:rsidR="00C96191">
        <w:t>u Pacte ne considère pas comme « un travail forcé ou obligatoire »</w:t>
      </w:r>
      <w:r w:rsidRPr="000B6220" w:rsidR="00EF1490">
        <w:t>, lequel est proscrit,</w:t>
      </w:r>
      <w:r w:rsidRPr="000B6220" w:rsidR="00C96191">
        <w:t xml:space="preserve"> « </w:t>
      </w:r>
      <w:r w:rsidRPr="000B6220" w:rsidR="00EF1490">
        <w:t>tout service de caractère militaire et, dans les pays où l</w:t>
      </w:r>
      <w:r w:rsidR="002257E9">
        <w:t>’</w:t>
      </w:r>
      <w:r w:rsidRPr="000B6220" w:rsidR="00EF1490">
        <w:t xml:space="preserve">objection de conscience est admise, tout service national exigé des objecteurs de conscience </w:t>
      </w:r>
      <w:r w:rsidRPr="000B6220" w:rsidR="00C96191">
        <w:t>en vertu de la loi »</w:t>
      </w:r>
      <w:r w:rsidRPr="000B6220" w:rsidR="00EF1490">
        <w:t>. Il s</w:t>
      </w:r>
      <w:r w:rsidR="002257E9">
        <w:t>’</w:t>
      </w:r>
      <w:r w:rsidRPr="000B6220" w:rsidR="00EF1490">
        <w:t>ensuit que l</w:t>
      </w:r>
      <w:r w:rsidR="002257E9">
        <w:t>’</w:t>
      </w:r>
      <w:r w:rsidRPr="000B6220" w:rsidR="00EF1490">
        <w:t>article 8 du Pacte lui-même ne reconnaît pas un droit à l</w:t>
      </w:r>
      <w:r w:rsidR="002257E9">
        <w:t>’</w:t>
      </w:r>
      <w:r w:rsidRPr="000B6220" w:rsidR="00EF1490">
        <w:t>objection de conscience, pas plus qu</w:t>
      </w:r>
      <w:r w:rsidR="002257E9">
        <w:t>’</w:t>
      </w:r>
      <w:r w:rsidRPr="000B6220" w:rsidR="00EF1490">
        <w:t>il ne l</w:t>
      </w:r>
      <w:r w:rsidR="002257E9">
        <w:t>’</w:t>
      </w:r>
      <w:r w:rsidRPr="000B6220" w:rsidR="00EF1490">
        <w:t>exclut. Ainsi, le grief en question doit être apprécié à la seule lumière de l</w:t>
      </w:r>
      <w:r w:rsidR="002257E9">
        <w:t>’</w:t>
      </w:r>
      <w:r w:rsidRPr="000B6220" w:rsidR="00EF1490">
        <w:t>article 18 du Pacte, dont l</w:t>
      </w:r>
      <w:r w:rsidR="002257E9">
        <w:t>’</w:t>
      </w:r>
      <w:r w:rsidRPr="000B6220" w:rsidR="00EF1490">
        <w:t>interprétation évolue, avec le temps, comme pour toute autre disposition du Pacte, que ce soit dans les formes ou sur le fond.</w:t>
      </w:r>
    </w:p>
    <w:p w:rsidRPr="000B6220" w:rsidR="00EF1490" w:rsidP="00E05F30" w:rsidRDefault="00EF1490">
      <w:pPr>
        <w:pStyle w:val="JuQuot"/>
      </w:pPr>
      <w:r w:rsidRPr="000B6220">
        <w:t>8.3.  (</w:t>
      </w:r>
      <w:r w:rsidR="00E40C8E">
        <w:t>...</w:t>
      </w:r>
      <w:r w:rsidRPr="000B6220">
        <w:t>)</w:t>
      </w:r>
      <w:r w:rsidRPr="000B6220" w:rsidR="00C96191">
        <w:t xml:space="preserve"> En conséquence, la condamnation et la peine infligées aux auteurs constituent une restriction de leur capacité de manifester leur religion ou leur conviction. Une telle restriction doit être justifiée par les limitations autorisées qui sont énoncées au paragraphe 3 de l</w:t>
      </w:r>
      <w:r w:rsidR="002257E9">
        <w:t>’</w:t>
      </w:r>
      <w:r w:rsidRPr="000B6220" w:rsidR="00C96191">
        <w:t>article 18, en vertu duquel toute restriction doit être prévue par la loi et être nécessaire à la protection de la sécurité, de l</w:t>
      </w:r>
      <w:r w:rsidR="002257E9">
        <w:t>’</w:t>
      </w:r>
      <w:r w:rsidRPr="000B6220" w:rsidR="00C96191">
        <w:t>ordre, de la santé ou de la moralité publics ou des libertés et droits fondamentaux d</w:t>
      </w:r>
      <w:r w:rsidR="002257E9">
        <w:t>’</w:t>
      </w:r>
      <w:r w:rsidRPr="000B6220" w:rsidR="00C96191">
        <w:t xml:space="preserve">autrui. </w:t>
      </w:r>
      <w:r w:rsidRPr="000B6220">
        <w:t>(</w:t>
      </w:r>
      <w:r w:rsidR="00E40C8E">
        <w:t>...</w:t>
      </w:r>
      <w:r w:rsidRPr="000B6220">
        <w:t>) »</w:t>
      </w:r>
    </w:p>
    <w:p w:rsidRPr="000B6220" w:rsidR="00D24327" w:rsidP="00E05F30" w:rsidRDefault="00EF1490">
      <w:pPr>
        <w:pStyle w:val="JuPara"/>
      </w:pPr>
      <w:r w:rsidRPr="000B6220">
        <w:fldChar w:fldCharType="begin"/>
      </w:r>
      <w:r w:rsidRPr="000B6220">
        <w:instrText xml:space="preserve"> SEQ level0 \*arabic </w:instrText>
      </w:r>
      <w:r w:rsidRPr="000B6220">
        <w:fldChar w:fldCharType="separate"/>
      </w:r>
      <w:r w:rsidR="00226498">
        <w:rPr>
          <w:noProof/>
        </w:rPr>
        <w:t>64</w:t>
      </w:r>
      <w:r w:rsidRPr="000B6220">
        <w:fldChar w:fldCharType="end"/>
      </w:r>
      <w:r w:rsidRPr="000B6220">
        <w:t>.  Le Comité a déclaré pour conclure que l</w:t>
      </w:r>
      <w:r w:rsidR="002257E9">
        <w:t>’</w:t>
      </w:r>
      <w:r w:rsidRPr="000B6220">
        <w:t>ingérence dans l</w:t>
      </w:r>
      <w:r w:rsidR="002257E9">
        <w:t>’</w:t>
      </w:r>
      <w:r w:rsidRPr="000B6220" w:rsidR="00D353EF">
        <w:t>exercice par les requérants d</w:t>
      </w:r>
      <w:r w:rsidRPr="000B6220">
        <w:t>es droits garantis par l</w:t>
      </w:r>
      <w:r w:rsidR="002257E9">
        <w:t>’</w:t>
      </w:r>
      <w:r w:rsidRPr="000B6220">
        <w:t>article 18 du PIDCP n</w:t>
      </w:r>
      <w:r w:rsidR="002257E9">
        <w:t>’</w:t>
      </w:r>
      <w:r w:rsidRPr="000B6220">
        <w:t>était pas nécessaire</w:t>
      </w:r>
      <w:r w:rsidRPr="000B6220" w:rsidR="00D353EF">
        <w:t xml:space="preserve">, raison pour laquelle </w:t>
      </w:r>
      <w:r w:rsidRPr="000B6220">
        <w:t>il y avait eu</w:t>
      </w:r>
      <w:r w:rsidR="001179AB">
        <w:t xml:space="preserve"> violation de cette disposition.</w:t>
      </w:r>
    </w:p>
    <w:p w:rsidRPr="000B6220" w:rsidR="00533965" w:rsidP="00E05F30" w:rsidRDefault="00465898">
      <w:pPr>
        <w:pStyle w:val="JuHa0"/>
      </w:pPr>
      <w:r>
        <w:t>c)  Le G</w:t>
      </w:r>
      <w:r w:rsidRPr="000B6220" w:rsidR="00533965">
        <w:t>roupe de travail sur la détention arbitraire</w:t>
      </w:r>
    </w:p>
    <w:p w:rsidRPr="000B6220" w:rsidR="00533965" w:rsidP="00E05F30" w:rsidRDefault="00533965">
      <w:pPr>
        <w:pStyle w:val="JuPara"/>
      </w:pPr>
      <w:r w:rsidRPr="000B6220">
        <w:fldChar w:fldCharType="begin"/>
      </w:r>
      <w:r w:rsidRPr="000B6220">
        <w:instrText xml:space="preserve"> SEQ level0 \*arabic </w:instrText>
      </w:r>
      <w:r w:rsidRPr="000B6220">
        <w:fldChar w:fldCharType="separate"/>
      </w:r>
      <w:r w:rsidR="00226498">
        <w:rPr>
          <w:noProof/>
        </w:rPr>
        <w:t>65</w:t>
      </w:r>
      <w:r w:rsidRPr="000B6220">
        <w:fldChar w:fldCharType="end"/>
      </w:r>
      <w:r w:rsidRPr="000B6220">
        <w:t>.  </w:t>
      </w:r>
      <w:r w:rsidRPr="000B6220" w:rsidR="001B2FCE">
        <w:t xml:space="preserve">La question de la détention des objecteurs de conscience a également été traitée à plusieurs reprises dans le cadre de sa </w:t>
      </w:r>
      <w:r w:rsidRPr="000B6220" w:rsidR="00D353EF">
        <w:t>procédure de recours individuel</w:t>
      </w:r>
      <w:r w:rsidRPr="000B6220" w:rsidR="001B2FCE">
        <w:t xml:space="preserve"> par le </w:t>
      </w:r>
      <w:r w:rsidRPr="000B6220" w:rsidR="005B5F13">
        <w:t>Groupe de travail sur la détention arbitraire</w:t>
      </w:r>
      <w:r w:rsidRPr="000B6220" w:rsidR="001B2FCE">
        <w:t>, qui</w:t>
      </w:r>
      <w:r w:rsidRPr="000B6220" w:rsidR="005B5F13">
        <w:t xml:space="preserve"> a été créé en 1991 par la Commission des droits de l</w:t>
      </w:r>
      <w:r w:rsidR="002257E9">
        <w:t>’</w:t>
      </w:r>
      <w:r w:rsidRPr="000B6220" w:rsidR="005B5F13">
        <w:t>homme</w:t>
      </w:r>
      <w:r w:rsidRPr="000B6220" w:rsidR="001B2FCE">
        <w:t xml:space="preserve"> des Nations unies</w:t>
      </w:r>
      <w:r w:rsidRPr="000B6220" w:rsidR="005B5F13">
        <w:t>. Jusqu</w:t>
      </w:r>
      <w:r w:rsidR="002257E9">
        <w:t>’</w:t>
      </w:r>
      <w:r w:rsidRPr="000B6220" w:rsidR="005B5F13">
        <w:t xml:space="preserve">à une date récente, </w:t>
      </w:r>
      <w:r w:rsidRPr="000B6220" w:rsidR="001B2FCE">
        <w:t>ce groupe</w:t>
      </w:r>
      <w:r w:rsidRPr="000B6220" w:rsidR="005B5F13">
        <w:t xml:space="preserve"> était principalement préoccupé par la sanction et l</w:t>
      </w:r>
      <w:r w:rsidR="002257E9">
        <w:t>’</w:t>
      </w:r>
      <w:r w:rsidRPr="000B6220" w:rsidR="005B5F13">
        <w:t xml:space="preserve">incarcération </w:t>
      </w:r>
      <w:r w:rsidR="00AF3005">
        <w:t>à répétition</w:t>
      </w:r>
      <w:r w:rsidRPr="000B6220" w:rsidR="005B5F13">
        <w:t xml:space="preserve"> d</w:t>
      </w:r>
      <w:r w:rsidR="002257E9">
        <w:t>’</w:t>
      </w:r>
      <w:r w:rsidRPr="000B6220" w:rsidR="005B5F13">
        <w:t>objecteurs de conscience, qu</w:t>
      </w:r>
      <w:r w:rsidR="002257E9">
        <w:t>’</w:t>
      </w:r>
      <w:r w:rsidRPr="000B6220" w:rsidR="005B5F13">
        <w:t>il jugeait arbitraire</w:t>
      </w:r>
      <w:r w:rsidR="007D0627">
        <w:t>s</w:t>
      </w:r>
      <w:r w:rsidRPr="000B6220" w:rsidR="005B5F13">
        <w:t xml:space="preserve"> car contraire</w:t>
      </w:r>
      <w:r w:rsidR="007D0627">
        <w:t>s</w:t>
      </w:r>
      <w:r w:rsidRPr="000B6220" w:rsidR="005B5F13">
        <w:t xml:space="preserve"> au principe </w:t>
      </w:r>
      <w:r w:rsidRPr="000B6220" w:rsidR="005B5F13">
        <w:rPr>
          <w:i/>
        </w:rPr>
        <w:t>non bis in idem</w:t>
      </w:r>
      <w:r w:rsidRPr="000B6220" w:rsidR="005B5F13">
        <w:t xml:space="preserve"> (voir, par exemple, l</w:t>
      </w:r>
      <w:r w:rsidR="002257E9">
        <w:t>’</w:t>
      </w:r>
      <w:r w:rsidRPr="000B6220" w:rsidR="005B5F13">
        <w:t>avis n</w:t>
      </w:r>
      <w:r w:rsidRPr="00E40C8E" w:rsidR="00E40C8E">
        <w:rPr>
          <w:vertAlign w:val="superscript"/>
        </w:rPr>
        <w:t>o</w:t>
      </w:r>
      <w:r w:rsidRPr="000B6220" w:rsidR="005B5F13">
        <w:t xml:space="preserve"> 36/1999 (Turquie), et l</w:t>
      </w:r>
      <w:r w:rsidR="002257E9">
        <w:t>’</w:t>
      </w:r>
      <w:r w:rsidRPr="000B6220" w:rsidR="005B5F13">
        <w:t>avis n</w:t>
      </w:r>
      <w:r w:rsidRPr="00E40C8E" w:rsidR="00E40C8E">
        <w:rPr>
          <w:vertAlign w:val="superscript"/>
        </w:rPr>
        <w:t>o</w:t>
      </w:r>
      <w:r w:rsidR="00C27424">
        <w:t xml:space="preserve"> 24/2003 (Israël)). En </w:t>
      </w:r>
      <w:r w:rsidRPr="000B6220" w:rsidR="005B5F13">
        <w:t xml:space="preserve">2008, le Groupe est allé plus loin en concluant </w:t>
      </w:r>
      <w:r w:rsidR="00AF3005">
        <w:t>à l</w:t>
      </w:r>
      <w:r w:rsidR="002257E9">
        <w:t>’</w:t>
      </w:r>
      <w:r w:rsidRPr="000B6220" w:rsidR="001B2FCE">
        <w:t xml:space="preserve">arbitraire </w:t>
      </w:r>
      <w:r w:rsidR="00AF3005">
        <w:t>dans le cas d</w:t>
      </w:r>
      <w:r w:rsidR="002257E9">
        <w:t>’</w:t>
      </w:r>
      <w:r w:rsidR="00AF3005">
        <w:t xml:space="preserve">un </w:t>
      </w:r>
      <w:r w:rsidRPr="00E711E1" w:rsidR="00AF3005">
        <w:t>objecteur de conscience qui n</w:t>
      </w:r>
      <w:r w:rsidR="002257E9">
        <w:t>’</w:t>
      </w:r>
      <w:r w:rsidRPr="00E711E1" w:rsidR="00AF3005">
        <w:t>avait subi qu</w:t>
      </w:r>
      <w:r w:rsidR="002257E9">
        <w:t>’</w:t>
      </w:r>
      <w:r w:rsidRPr="00E711E1" w:rsidR="00AF3005">
        <w:t>une seule</w:t>
      </w:r>
      <w:r w:rsidRPr="00E711E1" w:rsidR="005B5F13">
        <w:t xml:space="preserve"> condamnation et privation de liberté </w:t>
      </w:r>
      <w:r w:rsidRPr="00E711E1" w:rsidR="00F714DD">
        <w:t>(avis</w:t>
      </w:r>
      <w:r w:rsidR="00F714DD">
        <w:t xml:space="preserve"> n</w:t>
      </w:r>
      <w:r w:rsidRPr="00E40C8E" w:rsidR="00E40C8E">
        <w:rPr>
          <w:vertAlign w:val="superscript"/>
        </w:rPr>
        <w:t>o</w:t>
      </w:r>
      <w:r w:rsidR="004365F9">
        <w:t xml:space="preserve"> </w:t>
      </w:r>
      <w:r w:rsidR="008F2555">
        <w:t>16/2008 (Turquie</w:t>
      </w:r>
      <w:r w:rsidRPr="000B6220" w:rsidR="005B5F13">
        <w:t>)</w:t>
      </w:r>
      <w:r w:rsidR="004365F9">
        <w:t>)</w:t>
      </w:r>
      <w:r w:rsidRPr="000B6220" w:rsidR="005B5F13">
        <w:t>.</w:t>
      </w:r>
    </w:p>
    <w:p w:rsidRPr="000B6220" w:rsidR="00533965" w:rsidP="00E05F30" w:rsidRDefault="003E181D">
      <w:pPr>
        <w:pStyle w:val="JuH1"/>
      </w:pPr>
      <w:r w:rsidRPr="000B6220">
        <w:t>2.  Le système interaméricain de protection des droits de l</w:t>
      </w:r>
      <w:r w:rsidR="002257E9">
        <w:t>’</w:t>
      </w:r>
      <w:r w:rsidRPr="000B6220">
        <w:t>homme</w:t>
      </w:r>
    </w:p>
    <w:p w:rsidRPr="000B6220" w:rsidR="00533965" w:rsidP="00E05F30" w:rsidRDefault="003E181D">
      <w:pPr>
        <w:pStyle w:val="JuPara"/>
      </w:pPr>
      <w:r w:rsidRPr="000B6220">
        <w:fldChar w:fldCharType="begin"/>
      </w:r>
      <w:r w:rsidRPr="000B6220">
        <w:instrText xml:space="preserve"> SEQ level0 \*arabic </w:instrText>
      </w:r>
      <w:r w:rsidRPr="000B6220">
        <w:fldChar w:fldCharType="separate"/>
      </w:r>
      <w:r w:rsidR="00226498">
        <w:rPr>
          <w:noProof/>
        </w:rPr>
        <w:t>66</w:t>
      </w:r>
      <w:r w:rsidRPr="000B6220">
        <w:fldChar w:fldCharType="end"/>
      </w:r>
      <w:r w:rsidRPr="000B6220">
        <w:t>.  </w:t>
      </w:r>
      <w:r w:rsidRPr="000B6220" w:rsidR="002726E5">
        <w:t xml:space="preserve">Les articles </w:t>
      </w:r>
      <w:r w:rsidRPr="000B6220" w:rsidR="00EB29F8">
        <w:t>6 § 3 b) et 12 de la Convention américaine relative aux droits de l</w:t>
      </w:r>
      <w:r w:rsidR="002257E9">
        <w:t>’</w:t>
      </w:r>
      <w:r w:rsidRPr="000B6220" w:rsidR="00EB29F8">
        <w:t xml:space="preserve">homme sont semblables aux articles 4 </w:t>
      </w:r>
      <w:r w:rsidRPr="000B6220" w:rsidR="001B2FCE">
        <w:t xml:space="preserve">§ </w:t>
      </w:r>
      <w:r w:rsidRPr="000B6220" w:rsidR="00EB29F8">
        <w:t>3 b) et 9 de la Convention européenne.</w:t>
      </w:r>
    </w:p>
    <w:p w:rsidRPr="000B6220" w:rsidR="00EB29F8" w:rsidP="00E05F30" w:rsidRDefault="00EB29F8">
      <w:pPr>
        <w:pStyle w:val="JuPara"/>
      </w:pPr>
      <w:r w:rsidRPr="000B6220">
        <w:fldChar w:fldCharType="begin"/>
      </w:r>
      <w:r w:rsidRPr="000B6220">
        <w:instrText xml:space="preserve"> SEQ level0 \*arabic </w:instrText>
      </w:r>
      <w:r w:rsidRPr="000B6220">
        <w:fldChar w:fldCharType="separate"/>
      </w:r>
      <w:r w:rsidR="00226498">
        <w:rPr>
          <w:noProof/>
        </w:rPr>
        <w:t>67</w:t>
      </w:r>
      <w:r w:rsidRPr="000B6220">
        <w:fldChar w:fldCharType="end"/>
      </w:r>
      <w:r w:rsidRPr="000B6220">
        <w:t>.  En 1997 et 1998, la Commission interaméricaine des droits de l</w:t>
      </w:r>
      <w:r w:rsidR="002257E9">
        <w:t>’</w:t>
      </w:r>
      <w:r w:rsidRPr="000B6220">
        <w:t xml:space="preserve">homme </w:t>
      </w:r>
      <w:r w:rsidRPr="000B6220" w:rsidR="008F1C76">
        <w:t xml:space="preserve">a émis des </w:t>
      </w:r>
      <w:r w:rsidRPr="000B6220">
        <w:t xml:space="preserve">recommandations </w:t>
      </w:r>
      <w:r w:rsidRPr="000B6220" w:rsidR="008F1C76">
        <w:t>invitant les</w:t>
      </w:r>
      <w:r w:rsidRPr="000B6220">
        <w:t xml:space="preserve"> Etats membres dont la législation </w:t>
      </w:r>
      <w:r w:rsidRPr="000B6220" w:rsidR="008F1C76">
        <w:t>n</w:t>
      </w:r>
      <w:r w:rsidR="002257E9">
        <w:t>’</w:t>
      </w:r>
      <w:r w:rsidRPr="000B6220" w:rsidR="008F1C76">
        <w:t xml:space="preserve">exemptait toujours pas les objecteurs de conscience du service militaire ou du service de remplacement à revoir leur régime juridique et à y apporter des </w:t>
      </w:r>
      <w:r w:rsidRPr="000B6220" w:rsidR="001B2FCE">
        <w:t>modifications</w:t>
      </w:r>
      <w:r w:rsidRPr="000B6220" w:rsidR="008F1C76">
        <w:t xml:space="preserve"> compatibles avec l</w:t>
      </w:r>
      <w:r w:rsidR="002257E9">
        <w:t>’</w:t>
      </w:r>
      <w:r w:rsidRPr="000B6220" w:rsidR="008F1C76">
        <w:t>esprit du droit international des droits de l</w:t>
      </w:r>
      <w:r w:rsidR="002257E9">
        <w:t>’</w:t>
      </w:r>
      <w:r w:rsidRPr="000B6220" w:rsidR="008F1C76">
        <w:t xml:space="preserve">homme </w:t>
      </w:r>
      <w:r w:rsidRPr="000B6220">
        <w:t>par le biais d</w:t>
      </w:r>
      <w:r w:rsidR="002257E9">
        <w:t>’</w:t>
      </w:r>
      <w:r w:rsidRPr="000B6220">
        <w:t>amendements législatifs prévoyant l</w:t>
      </w:r>
      <w:r w:rsidR="002257E9">
        <w:t>’</w:t>
      </w:r>
      <w:r w:rsidRPr="000B6220">
        <w:t>exemption du service militaire en cas d</w:t>
      </w:r>
      <w:r w:rsidR="002257E9">
        <w:t>’</w:t>
      </w:r>
      <w:r w:rsidRPr="000B6220">
        <w:t>objection de conscience.</w:t>
      </w:r>
    </w:p>
    <w:p w:rsidRPr="000B6220" w:rsidR="008F1C76" w:rsidP="00E05F30" w:rsidRDefault="008F1C76">
      <w:pPr>
        <w:pStyle w:val="JuPara"/>
      </w:pPr>
      <w:r w:rsidRPr="000B6220">
        <w:fldChar w:fldCharType="begin"/>
      </w:r>
      <w:r w:rsidRPr="000B6220">
        <w:instrText xml:space="preserve"> SEQ level0 \*arabic </w:instrText>
      </w:r>
      <w:r w:rsidRPr="000B6220">
        <w:fldChar w:fldCharType="separate"/>
      </w:r>
      <w:r w:rsidR="00226498">
        <w:rPr>
          <w:noProof/>
        </w:rPr>
        <w:t>68</w:t>
      </w:r>
      <w:r w:rsidRPr="000B6220">
        <w:fldChar w:fldCharType="end"/>
      </w:r>
      <w:r w:rsidRPr="000B6220">
        <w:t>.  La Commission interaméricaine a tranché le 10 mars 2005 le premier recours individuel portant sur le droit à l</w:t>
      </w:r>
      <w:r w:rsidR="002257E9">
        <w:t>’</w:t>
      </w:r>
      <w:r w:rsidRPr="000B6220">
        <w:t xml:space="preserve">objection de conscience. </w:t>
      </w:r>
      <w:r w:rsidRPr="000B6220" w:rsidR="00682016">
        <w:t>Elle a considéré qu</w:t>
      </w:r>
      <w:r w:rsidR="002257E9">
        <w:t>’</w:t>
      </w:r>
      <w:r w:rsidRPr="000B6220" w:rsidR="00682016">
        <w:t>il fallait interpréter l</w:t>
      </w:r>
      <w:r w:rsidR="002257E9">
        <w:t>’</w:t>
      </w:r>
      <w:r w:rsidRPr="000B6220" w:rsidR="00682016">
        <w:t>article 12 à la lumière de l</w:t>
      </w:r>
      <w:r w:rsidR="002257E9">
        <w:t>’</w:t>
      </w:r>
      <w:r w:rsidRPr="000B6220" w:rsidR="00682016">
        <w:t>article 6 § 3 b) et conclu que l</w:t>
      </w:r>
      <w:r w:rsidR="002257E9">
        <w:t>’</w:t>
      </w:r>
      <w:r w:rsidRPr="000B6220" w:rsidR="00682016">
        <w:t>objection de conscience n</w:t>
      </w:r>
      <w:r w:rsidR="002257E9">
        <w:t>’</w:t>
      </w:r>
      <w:r w:rsidRPr="000B6220" w:rsidR="00682016">
        <w:t xml:space="preserve">était protégée par la Convention américaine que pour les pays où ce droit était reconnu. A cet égard, la Commission </w:t>
      </w:r>
      <w:r w:rsidRPr="000B6220" w:rsidR="001B2FCE">
        <w:t xml:space="preserve">interaméricaine </w:t>
      </w:r>
      <w:r w:rsidRPr="000B6220" w:rsidR="00682016">
        <w:t>s</w:t>
      </w:r>
      <w:r w:rsidR="002257E9">
        <w:t>’</w:t>
      </w:r>
      <w:r w:rsidRPr="000B6220" w:rsidR="00682016">
        <w:t xml:space="preserve">est largement appuyée sur la jurisprudence de la Commission européenne </w:t>
      </w:r>
      <w:r w:rsidR="000A56DC">
        <w:t>des droits de l</w:t>
      </w:r>
      <w:r w:rsidR="002257E9">
        <w:t>’</w:t>
      </w:r>
      <w:r w:rsidR="000A56DC">
        <w:t xml:space="preserve">homme </w:t>
      </w:r>
      <w:r w:rsidRPr="000B6220" w:rsidR="00682016">
        <w:t xml:space="preserve">et </w:t>
      </w:r>
      <w:r w:rsidR="000A56DC">
        <w:t xml:space="preserve">sur </w:t>
      </w:r>
      <w:r w:rsidRPr="000B6220" w:rsidR="00D353EF">
        <w:t xml:space="preserve">celle </w:t>
      </w:r>
      <w:r w:rsidRPr="000B6220" w:rsidR="00682016">
        <w:t>du Comité des droits de l</w:t>
      </w:r>
      <w:r w:rsidR="002257E9">
        <w:t>’</w:t>
      </w:r>
      <w:r w:rsidRPr="000B6220" w:rsidR="00682016">
        <w:t>homme des Nations unies</w:t>
      </w:r>
      <w:r w:rsidR="00505194">
        <w:t xml:space="preserve"> antérieures à </w:t>
      </w:r>
      <w:r w:rsidRPr="000B6220" w:rsidR="00682016">
        <w:t>2005 (</w:t>
      </w:r>
      <w:r w:rsidRPr="004365F9" w:rsidR="00682016">
        <w:t>Cristián</w:t>
      </w:r>
      <w:r w:rsidRPr="004365F9" w:rsidR="00C27424">
        <w:t xml:space="preserve"> Daniel Sahli Vera et autres c. </w:t>
      </w:r>
      <w:r w:rsidRPr="004365F9" w:rsidR="00682016">
        <w:t>Chili</w:t>
      </w:r>
      <w:r w:rsidRPr="000B6220" w:rsidR="00682016">
        <w:t xml:space="preserve">, </w:t>
      </w:r>
      <w:r w:rsidR="00B719C2">
        <w:t>a</w:t>
      </w:r>
      <w:r w:rsidRPr="000B6220" w:rsidR="00E546B1">
        <w:t>ffaire 12.219, rapport n</w:t>
      </w:r>
      <w:r w:rsidRPr="00E40C8E" w:rsidR="00E40C8E">
        <w:rPr>
          <w:vertAlign w:val="superscript"/>
        </w:rPr>
        <w:t>o</w:t>
      </w:r>
      <w:r w:rsidR="00C27424">
        <w:t xml:space="preserve"> 43/05, 10 mars </w:t>
      </w:r>
      <w:r w:rsidRPr="000B6220" w:rsidR="00E546B1">
        <w:t xml:space="preserve">2005, §§ 95-97). </w:t>
      </w:r>
      <w:r w:rsidR="00505194">
        <w:t>Elle a par la suite confirmé c</w:t>
      </w:r>
      <w:r w:rsidRPr="000B6220" w:rsidR="00E546B1">
        <w:t>ette approche dans une autre affaire (</w:t>
      </w:r>
      <w:r w:rsidR="004365F9">
        <w:t xml:space="preserve">Alfredo Díaz Bustos c. </w:t>
      </w:r>
      <w:r w:rsidRPr="004365F9" w:rsidR="00E546B1">
        <w:t>Bolivie</w:t>
      </w:r>
      <w:r w:rsidR="0057535F">
        <w:t>, a</w:t>
      </w:r>
      <w:r w:rsidRPr="000B6220" w:rsidR="00E546B1">
        <w:t>ffa</w:t>
      </w:r>
      <w:r w:rsidR="00CB35A9">
        <w:t>ire 14/04, rapport n</w:t>
      </w:r>
      <w:r w:rsidRPr="00E40C8E" w:rsidR="00E40C8E">
        <w:rPr>
          <w:vertAlign w:val="superscript"/>
        </w:rPr>
        <w:t>o</w:t>
      </w:r>
      <w:r w:rsidR="00C27424">
        <w:t xml:space="preserve"> </w:t>
      </w:r>
      <w:r w:rsidR="00CB35A9">
        <w:t>97/05,</w:t>
      </w:r>
      <w:r w:rsidR="00C27424">
        <w:t xml:space="preserve"> 27 </w:t>
      </w:r>
      <w:r w:rsidRPr="000B6220" w:rsidR="00E546B1">
        <w:t>octobre 2005, § 19).</w:t>
      </w:r>
    </w:p>
    <w:p w:rsidRPr="000B6220" w:rsidR="003E181D" w:rsidP="00E05F30" w:rsidRDefault="003E181D">
      <w:pPr>
        <w:pStyle w:val="JuH1"/>
      </w:pPr>
      <w:r w:rsidRPr="000B6220">
        <w:t>3.  La Convention ibéro-américaine sur les droits des jeunes</w:t>
      </w:r>
    </w:p>
    <w:p w:rsidRPr="000B6220" w:rsidR="003E181D" w:rsidP="00E05F30" w:rsidRDefault="003E181D">
      <w:pPr>
        <w:pStyle w:val="JuPara"/>
      </w:pPr>
      <w:r w:rsidRPr="000B6220">
        <w:fldChar w:fldCharType="begin"/>
      </w:r>
      <w:r w:rsidRPr="000B6220">
        <w:instrText xml:space="preserve"> SEQ level0 \*arabic </w:instrText>
      </w:r>
      <w:r w:rsidRPr="000B6220">
        <w:fldChar w:fldCharType="separate"/>
      </w:r>
      <w:r w:rsidR="00226498">
        <w:rPr>
          <w:noProof/>
        </w:rPr>
        <w:t>69</w:t>
      </w:r>
      <w:r w:rsidRPr="000B6220">
        <w:fldChar w:fldCharType="end"/>
      </w:r>
      <w:r w:rsidRPr="000B6220">
        <w:t>.  Les 10-11 octobre 2005 a été adoptée dans le cadre de l</w:t>
      </w:r>
      <w:r w:rsidR="002257E9">
        <w:t>’</w:t>
      </w:r>
      <w:r w:rsidRPr="000B6220">
        <w:t xml:space="preserve">organisation ibéro-américaine de la jeunesse la Convention ibéro-américaine </w:t>
      </w:r>
      <w:r w:rsidR="00465898">
        <w:t xml:space="preserve">sur les </w:t>
      </w:r>
      <w:r w:rsidRPr="000B6220">
        <w:t>droits des jeunes, qui énonce un certain nombre de droits spécifiqu</w:t>
      </w:r>
      <w:r w:rsidR="004365F9">
        <w:t>es pour les individus âgés de quinze à vingt-quatre</w:t>
      </w:r>
      <w:r w:rsidRPr="000B6220">
        <w:t xml:space="preserve"> ans. En son article 12, intitulé « Droit à l</w:t>
      </w:r>
      <w:r w:rsidR="002257E9">
        <w:t>’</w:t>
      </w:r>
      <w:r w:rsidRPr="000B6220">
        <w:t>objection de conscience », elle dispose :</w:t>
      </w:r>
    </w:p>
    <w:p w:rsidRPr="000B6220" w:rsidR="003E181D" w:rsidP="00E05F30" w:rsidRDefault="001B2FCE">
      <w:pPr>
        <w:pStyle w:val="JuQuot"/>
      </w:pPr>
      <w:r w:rsidRPr="000B6220">
        <w:t>« </w:t>
      </w:r>
      <w:r w:rsidRPr="000B6220" w:rsidR="003E181D">
        <w:t>1.</w:t>
      </w:r>
      <w:r w:rsidR="00E40C8E">
        <w:t>  </w:t>
      </w:r>
      <w:r w:rsidRPr="000B6220" w:rsidR="003E181D">
        <w:t xml:space="preserve">Les jeunes ont le droit </w:t>
      </w:r>
      <w:r w:rsidRPr="000B6220" w:rsidR="009A1A0B">
        <w:t>de formuler</w:t>
      </w:r>
      <w:r w:rsidRPr="000B6220" w:rsidR="003E181D">
        <w:t xml:space="preserve"> une objection de conscience au service militaire obligatoire.</w:t>
      </w:r>
    </w:p>
    <w:p w:rsidRPr="000B6220" w:rsidR="003E181D" w:rsidP="00E05F30" w:rsidRDefault="003E181D">
      <w:pPr>
        <w:pStyle w:val="JuQuot"/>
      </w:pPr>
      <w:r w:rsidRPr="000B6220">
        <w:t>2.</w:t>
      </w:r>
      <w:r w:rsidR="00E40C8E">
        <w:t>  </w:t>
      </w:r>
      <w:r w:rsidRPr="000B6220">
        <w:t>Les Etats parties s</w:t>
      </w:r>
      <w:r w:rsidR="002257E9">
        <w:t>’</w:t>
      </w:r>
      <w:r w:rsidRPr="000B6220">
        <w:t>engagent à promouvoir les mesures juridiques pertinentes propres à garantir l</w:t>
      </w:r>
      <w:r w:rsidR="002257E9">
        <w:t>’</w:t>
      </w:r>
      <w:r w:rsidRPr="000B6220">
        <w:t>exercice de ce droit et à avancer sur la voie d</w:t>
      </w:r>
      <w:r w:rsidR="002257E9">
        <w:t>’</w:t>
      </w:r>
      <w:r w:rsidRPr="000B6220">
        <w:t>une élimination progressive du service militaire obligatoire.</w:t>
      </w:r>
      <w:r w:rsidR="00192E51">
        <w:t> »</w:t>
      </w:r>
    </w:p>
    <w:p w:rsidRPr="000B6220" w:rsidR="00533965" w:rsidP="00E05F30" w:rsidRDefault="003E181D">
      <w:pPr>
        <w:pStyle w:val="JuH1"/>
      </w:pPr>
      <w:r w:rsidRPr="000B6220">
        <w:t>4.  L</w:t>
      </w:r>
      <w:r w:rsidR="002257E9">
        <w:t>’</w:t>
      </w:r>
      <w:r w:rsidR="0057535F">
        <w:t>O</w:t>
      </w:r>
      <w:r w:rsidRPr="000B6220">
        <w:t>rganisation pour la sécurité et la coopération en Europe (OSCE)</w:t>
      </w:r>
    </w:p>
    <w:p w:rsidR="00C27424" w:rsidP="00E05F30" w:rsidRDefault="003E181D">
      <w:pPr>
        <w:pStyle w:val="JuPara"/>
      </w:pPr>
      <w:r w:rsidRPr="000B6220">
        <w:fldChar w:fldCharType="begin"/>
      </w:r>
      <w:r w:rsidRPr="000B6220">
        <w:instrText xml:space="preserve"> SEQ level0 \*arabic </w:instrText>
      </w:r>
      <w:r w:rsidRPr="000B6220">
        <w:fldChar w:fldCharType="separate"/>
      </w:r>
      <w:r w:rsidR="00226498">
        <w:rPr>
          <w:noProof/>
        </w:rPr>
        <w:t>70</w:t>
      </w:r>
      <w:r w:rsidRPr="000B6220">
        <w:fldChar w:fldCharType="end"/>
      </w:r>
      <w:r w:rsidRPr="000B6220">
        <w:t>.  </w:t>
      </w:r>
      <w:r w:rsidRPr="000B6220" w:rsidR="00347574">
        <w:t>L</w:t>
      </w:r>
      <w:r w:rsidR="002257E9">
        <w:t>’</w:t>
      </w:r>
      <w:r w:rsidRPr="000B6220" w:rsidR="00347574">
        <w:t>OSCE s</w:t>
      </w:r>
      <w:r w:rsidR="002257E9">
        <w:t>’</w:t>
      </w:r>
      <w:r w:rsidRPr="000B6220" w:rsidR="00347574">
        <w:t>est elle aussi saisie de la question de l</w:t>
      </w:r>
      <w:r w:rsidR="002257E9">
        <w:t>’</w:t>
      </w:r>
      <w:r w:rsidRPr="000B6220" w:rsidR="00347574">
        <w:t>objection de conscience en 1990. Lors de la conférence sur la dimension humaine, les Etats participants ont noté que la Commission des droits de l</w:t>
      </w:r>
      <w:r w:rsidR="002257E9">
        <w:t>’</w:t>
      </w:r>
      <w:r w:rsidR="0057535F">
        <w:t>homme des Nations u</w:t>
      </w:r>
      <w:r w:rsidRPr="000B6220" w:rsidR="00347574">
        <w:t>nies avait reconnu le droit à l</w:t>
      </w:r>
      <w:r w:rsidR="002257E9">
        <w:t>’</w:t>
      </w:r>
      <w:r w:rsidRPr="000B6220" w:rsidR="00347574">
        <w:t>objection de conscience</w:t>
      </w:r>
      <w:r w:rsidRPr="000B6220" w:rsidR="00D353EF">
        <w:t>,</w:t>
      </w:r>
      <w:r w:rsidR="00BB69FB">
        <w:t xml:space="preserve"> et </w:t>
      </w:r>
      <w:r w:rsidRPr="000B6220" w:rsidR="00347574">
        <w:t xml:space="preserve">ont </w:t>
      </w:r>
      <w:r w:rsidR="00BB69FB">
        <w:t>décidé</w:t>
      </w:r>
      <w:r w:rsidRPr="000B6220" w:rsidR="00347574">
        <w:t xml:space="preserve"> d</w:t>
      </w:r>
      <w:r w:rsidR="002257E9">
        <w:t>’</w:t>
      </w:r>
      <w:r w:rsidRPr="000B6220" w:rsidR="00347574">
        <w:t>examiner la possibilité de mettre en place différentes formes de service de remplacement dans leurs systèmes juridiques internes. En 2004, l</w:t>
      </w:r>
      <w:r w:rsidR="002257E9">
        <w:t>’</w:t>
      </w:r>
      <w:r w:rsidRPr="000B6220" w:rsidR="00347574">
        <w:t xml:space="preserve">OSCE a préparé des </w:t>
      </w:r>
      <w:r w:rsidR="00BB69FB">
        <w:t>« </w:t>
      </w:r>
      <w:r w:rsidRPr="000B6220" w:rsidR="00347574">
        <w:t>lignes directrices visant l</w:t>
      </w:r>
      <w:r w:rsidR="002257E9">
        <w:t>’</w:t>
      </w:r>
      <w:r w:rsidRPr="000B6220" w:rsidR="00347574">
        <w:t>examen des lois affectant la religion ou les convictions religieuses</w:t>
      </w:r>
      <w:r w:rsidR="00BB69FB">
        <w:t> »</w:t>
      </w:r>
      <w:r w:rsidRPr="000B6220" w:rsidR="00347574">
        <w:t>, dans lesquelles elle a remarqué que, bien qu</w:t>
      </w:r>
      <w:r w:rsidR="002257E9">
        <w:t>’</w:t>
      </w:r>
      <w:r w:rsidRPr="000B6220" w:rsidR="00347574">
        <w:t>aucune norme internationale ne régisse cette question, la plupart des Etats démocratiques autoris</w:t>
      </w:r>
      <w:r w:rsidRPr="000B6220" w:rsidR="001B2FCE">
        <w:t>ai</w:t>
      </w:r>
      <w:r w:rsidRPr="000B6220" w:rsidR="00347574">
        <w:t>ent les personnes formulant des objections sérieuses d</w:t>
      </w:r>
      <w:r w:rsidR="002257E9">
        <w:t>’</w:t>
      </w:r>
      <w:r w:rsidRPr="000B6220" w:rsidR="00347574">
        <w:t>ordre moral ou religieux au service militaire à effectuer un service (civil) de remplacement.</w:t>
      </w:r>
    </w:p>
    <w:p w:rsidRPr="000B6220" w:rsidR="005B0A9C" w:rsidP="00E05F30" w:rsidRDefault="006C5B9E">
      <w:pPr>
        <w:pStyle w:val="JuHHead"/>
      </w:pPr>
      <w:r w:rsidRPr="000B6220">
        <w:t>EN DROIT</w:t>
      </w:r>
    </w:p>
    <w:p w:rsidRPr="000B6220" w:rsidR="006C5B9E" w:rsidP="004365F9" w:rsidRDefault="005B0A9C">
      <w:pPr>
        <w:pStyle w:val="JuHIRoman"/>
        <w:tabs>
          <w:tab w:val="clear" w:pos="357"/>
        </w:tabs>
        <w:ind w:left="336" w:hanging="336"/>
      </w:pPr>
      <w:r w:rsidRPr="000B6220">
        <w:t>I</w:t>
      </w:r>
      <w:r w:rsidRPr="000B6220" w:rsidR="006C5B9E">
        <w:t>.  SUR LA VIOLATION ALLÉGUÉE DE L</w:t>
      </w:r>
      <w:r w:rsidR="002257E9">
        <w:t>’</w:t>
      </w:r>
      <w:r w:rsidRPr="000B6220" w:rsidR="006C5B9E">
        <w:t xml:space="preserve">ARTICLE </w:t>
      </w:r>
      <w:r w:rsidRPr="000B6220">
        <w:t>9</w:t>
      </w:r>
      <w:r w:rsidRPr="000B6220" w:rsidR="006C5B9E">
        <w:t xml:space="preserve"> DE LA CONVENTION</w:t>
      </w:r>
    </w:p>
    <w:p w:rsidRPr="000B6220" w:rsidR="005B0A9C" w:rsidP="00E05F30" w:rsidRDefault="005B0A9C">
      <w:pPr>
        <w:pStyle w:val="JuPara"/>
      </w:pPr>
      <w:r w:rsidRPr="000B6220">
        <w:fldChar w:fldCharType="begin"/>
      </w:r>
      <w:r w:rsidRPr="000B6220">
        <w:instrText xml:space="preserve"> SEQ level0 \*arabic </w:instrText>
      </w:r>
      <w:r w:rsidRPr="000B6220">
        <w:fldChar w:fldCharType="separate"/>
      </w:r>
      <w:r w:rsidR="00226498">
        <w:rPr>
          <w:noProof/>
        </w:rPr>
        <w:t>71</w:t>
      </w:r>
      <w:r w:rsidRPr="000B6220">
        <w:fldChar w:fldCharType="end"/>
      </w:r>
      <w:r w:rsidRPr="000B6220">
        <w:t xml:space="preserve">.  Le requérant </w:t>
      </w:r>
      <w:r w:rsidR="00A36ADF">
        <w:t>soutient</w:t>
      </w:r>
      <w:r w:rsidRPr="000B6220">
        <w:t xml:space="preserve"> que sa condamnation pour avoir refusé de servir dans l</w:t>
      </w:r>
      <w:r w:rsidR="002257E9">
        <w:t>’</w:t>
      </w:r>
      <w:r w:rsidRPr="000B6220">
        <w:t>armée a emporté violation de l</w:t>
      </w:r>
      <w:r w:rsidR="002257E9">
        <w:t>’</w:t>
      </w:r>
      <w:r w:rsidRPr="000B6220">
        <w:t>article 9 de la Convention, ainsi libellé :</w:t>
      </w:r>
    </w:p>
    <w:p w:rsidRPr="000B6220" w:rsidR="005B0A9C" w:rsidP="00E05F30" w:rsidRDefault="005B0A9C">
      <w:pPr>
        <w:pStyle w:val="JuQuot"/>
      </w:pPr>
      <w:r w:rsidRPr="000B6220">
        <w:t>« 1.  Toute personne a droit à la liberté de pensée, de conscience et de religion ; ce droit implique la liberté de changer de religion ou de conviction, ainsi que la liberté de manifester sa religion ou sa conviction individuellement ou collectivement, en public ou en privé, par le culte, l</w:t>
      </w:r>
      <w:r w:rsidR="002257E9">
        <w:t>’</w:t>
      </w:r>
      <w:r w:rsidRPr="000B6220">
        <w:t>enseignement, les pratiques et l</w:t>
      </w:r>
      <w:r w:rsidR="002257E9">
        <w:t>’</w:t>
      </w:r>
      <w:r w:rsidRPr="000B6220">
        <w:t>accomplissement des rites.</w:t>
      </w:r>
    </w:p>
    <w:p w:rsidRPr="000B6220" w:rsidR="005B0A9C" w:rsidP="00E05F30" w:rsidRDefault="005B0A9C">
      <w:pPr>
        <w:pStyle w:val="JuQuot"/>
      </w:pPr>
      <w:r w:rsidRPr="000B6220">
        <w:t>2.  La liberté de manifester sa religion ou ses convictions ne peut faire l</w:t>
      </w:r>
      <w:r w:rsidR="002257E9">
        <w:t>’</w:t>
      </w:r>
      <w:r w:rsidRPr="000B6220">
        <w:t>objet d</w:t>
      </w:r>
      <w:r w:rsidR="002257E9">
        <w:t>’</w:t>
      </w:r>
      <w:r w:rsidRPr="000B6220">
        <w:t>autres restrictions que celles qui, prévues par la loi, constituent des mesures nécessaires, dans une société démocratique, à la sécurité publique, à la protection de l</w:t>
      </w:r>
      <w:r w:rsidR="002257E9">
        <w:t>’</w:t>
      </w:r>
      <w:r w:rsidRPr="000B6220">
        <w:t>ordre, de la santé ou de la morale publiques, ou à la protection des droits et libertés d</w:t>
      </w:r>
      <w:r w:rsidR="002257E9">
        <w:t>’</w:t>
      </w:r>
      <w:r w:rsidRPr="000B6220">
        <w:t>autrui. »</w:t>
      </w:r>
    </w:p>
    <w:p w:rsidRPr="000B6220" w:rsidR="006C5B9E" w:rsidP="00E05F30" w:rsidRDefault="006C5B9E">
      <w:pPr>
        <w:pStyle w:val="JuHA"/>
        <w:outlineLvl w:val="0"/>
      </w:pPr>
      <w:r w:rsidRPr="000B6220">
        <w:t>A.  </w:t>
      </w:r>
      <w:r w:rsidRPr="000B6220" w:rsidR="005B0A9C">
        <w:t>L</w:t>
      </w:r>
      <w:r w:rsidR="002257E9">
        <w:t>’</w:t>
      </w:r>
      <w:r w:rsidRPr="000B6220" w:rsidR="005B0A9C">
        <w:t>arrêt de</w:t>
      </w:r>
      <w:r w:rsidRPr="000B6220" w:rsidR="00464A9A">
        <w:t xml:space="preserve"> la</w:t>
      </w:r>
      <w:r w:rsidRPr="000B6220" w:rsidR="005B0A9C">
        <w:t xml:space="preserve"> chambre</w:t>
      </w:r>
    </w:p>
    <w:p w:rsidRPr="000B6220" w:rsidR="006C5B9E"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72</w:t>
      </w:r>
      <w:r w:rsidRPr="000B6220">
        <w:fldChar w:fldCharType="end"/>
      </w:r>
      <w:r w:rsidRPr="000B6220" w:rsidR="006C5B9E">
        <w:t>.  </w:t>
      </w:r>
      <w:r w:rsidRPr="000B6220" w:rsidR="00E71F66">
        <w:t>Dans son arrêt du 27 octobre 2009, la chambre a noté d</w:t>
      </w:r>
      <w:r w:rsidR="002257E9">
        <w:t>’</w:t>
      </w:r>
      <w:r w:rsidRPr="000B6220" w:rsidR="00E71F66">
        <w:t>emblée que la majorité des Etats membres du Conseil de l</w:t>
      </w:r>
      <w:r w:rsidR="002257E9">
        <w:t>’</w:t>
      </w:r>
      <w:r w:rsidRPr="000B6220" w:rsidR="00E71F66">
        <w:t xml:space="preserve">Europe </w:t>
      </w:r>
      <w:r w:rsidR="006E0F88">
        <w:t>avaient</w:t>
      </w:r>
      <w:r w:rsidRPr="000B6220" w:rsidR="00E71F66">
        <w:t xml:space="preserve"> adopté des lois </w:t>
      </w:r>
      <w:r w:rsidRPr="000B6220" w:rsidR="00105B6D">
        <w:t>instituant</w:t>
      </w:r>
      <w:r w:rsidRPr="000B6220" w:rsidR="00E71F66">
        <w:t xml:space="preserve"> un service de remplacement pour les objecteurs de conscience. </w:t>
      </w:r>
      <w:r w:rsidR="006E0F88">
        <w:t>Elle a toutefois considéré qu</w:t>
      </w:r>
      <w:r w:rsidR="002257E9">
        <w:t>’</w:t>
      </w:r>
      <w:r w:rsidR="006E0F88">
        <w:t>il fallait</w:t>
      </w:r>
      <w:r w:rsidRPr="000B6220" w:rsidR="00464A9A">
        <w:t xml:space="preserve"> interpréter </w:t>
      </w:r>
      <w:r w:rsidRPr="000B6220" w:rsidR="00E71F66">
        <w:t>l</w:t>
      </w:r>
      <w:r w:rsidR="002257E9">
        <w:t>’</w:t>
      </w:r>
      <w:r w:rsidRPr="000B6220" w:rsidR="00E71F66">
        <w:t>article 9 à la lumière de l</w:t>
      </w:r>
      <w:r w:rsidR="002257E9">
        <w:t>’</w:t>
      </w:r>
      <w:r w:rsidR="00C27424">
        <w:t xml:space="preserve">article 4 § </w:t>
      </w:r>
      <w:r w:rsidRPr="000B6220" w:rsidR="00E71F66">
        <w:t>3 b) de la Convention</w:t>
      </w:r>
      <w:r w:rsidR="00813C48">
        <w:rPr>
          <w:rStyle w:val="FootnoteReference"/>
        </w:rPr>
        <w:footnoteReference w:id="1"/>
      </w:r>
      <w:r w:rsidRPr="000B6220" w:rsidR="00E71F66">
        <w:t xml:space="preserve">, </w:t>
      </w:r>
      <w:r w:rsidRPr="000B6220" w:rsidR="00105B6D">
        <w:t>qui laiss</w:t>
      </w:r>
      <w:r w:rsidR="006E0F88">
        <w:t>ait</w:t>
      </w:r>
      <w:r w:rsidR="0094616E">
        <w:t xml:space="preserve"> </w:t>
      </w:r>
      <w:r w:rsidR="00192E51">
        <w:t xml:space="preserve">selon elle </w:t>
      </w:r>
      <w:r w:rsidRPr="000B6220" w:rsidR="00105B6D">
        <w:t>à chaque Partie contractante</w:t>
      </w:r>
      <w:r w:rsidRPr="000B6220" w:rsidR="00E556D4">
        <w:t xml:space="preserve"> le choix de reconnaître ou non </w:t>
      </w:r>
      <w:r w:rsidR="0094616E">
        <w:t>l</w:t>
      </w:r>
      <w:r w:rsidR="002257E9">
        <w:t>’</w:t>
      </w:r>
      <w:r w:rsidR="0094616E">
        <w:t>objection</w:t>
      </w:r>
      <w:r w:rsidRPr="000B6220" w:rsidR="00E556D4">
        <w:t xml:space="preserve"> de conscience. </w:t>
      </w:r>
      <w:r w:rsidRPr="000B6220" w:rsidR="00105B6D">
        <w:t>Elle a ainsi estimé que</w:t>
      </w:r>
      <w:r w:rsidRPr="000B6220" w:rsidR="00E556D4">
        <w:t xml:space="preserve"> ce n</w:t>
      </w:r>
      <w:r w:rsidR="002257E9">
        <w:t>’</w:t>
      </w:r>
      <w:r w:rsidR="0067486A">
        <w:t>était</w:t>
      </w:r>
      <w:r w:rsidRPr="000B6220" w:rsidR="00E556D4">
        <w:t xml:space="preserve"> pas parce que la majorité des Parties contractantes a</w:t>
      </w:r>
      <w:r w:rsidR="0067486A">
        <w:t>vai</w:t>
      </w:r>
      <w:r w:rsidR="00192E51">
        <w:t>en</w:t>
      </w:r>
      <w:r w:rsidR="0067486A">
        <w:t>t</w:t>
      </w:r>
      <w:r w:rsidRPr="000B6220" w:rsidR="00E556D4">
        <w:t xml:space="preserve"> reconnu ce droit que l</w:t>
      </w:r>
      <w:r w:rsidR="002257E9">
        <w:t>’</w:t>
      </w:r>
      <w:r w:rsidRPr="000B6220" w:rsidR="00E556D4">
        <w:t>on p</w:t>
      </w:r>
      <w:r w:rsidR="0067486A">
        <w:t>ouvait</w:t>
      </w:r>
      <w:r w:rsidRPr="000B6220" w:rsidR="00E556D4">
        <w:t xml:space="preserve"> </w:t>
      </w:r>
      <w:r w:rsidRPr="000B6220" w:rsidR="00105B6D">
        <w:t>dire</w:t>
      </w:r>
      <w:r w:rsidRPr="000B6220" w:rsidR="00E556D4">
        <w:t xml:space="preserve"> qu</w:t>
      </w:r>
      <w:r w:rsidR="002257E9">
        <w:t>’</w:t>
      </w:r>
      <w:r w:rsidRPr="000B6220" w:rsidR="00E556D4">
        <w:t>une Partie contractante qui ne l</w:t>
      </w:r>
      <w:r w:rsidR="002257E9">
        <w:t>’</w:t>
      </w:r>
      <w:r w:rsidRPr="000B6220" w:rsidR="00E556D4">
        <w:t>a</w:t>
      </w:r>
      <w:r w:rsidR="0067486A">
        <w:t>vait</w:t>
      </w:r>
      <w:r w:rsidRPr="000B6220" w:rsidR="00E556D4">
        <w:t xml:space="preserve"> pas fait </w:t>
      </w:r>
      <w:r w:rsidRPr="000B6220" w:rsidR="00B14F8B">
        <w:t>enfrei</w:t>
      </w:r>
      <w:r w:rsidR="0067486A">
        <w:t>gnait</w:t>
      </w:r>
      <w:r w:rsidRPr="000B6220" w:rsidR="00B14F8B">
        <w:t xml:space="preserve"> les obligations </w:t>
      </w:r>
      <w:r w:rsidR="0094616E">
        <w:t>découla</w:t>
      </w:r>
      <w:r w:rsidRPr="000B6220" w:rsidR="00B14F8B">
        <w:t>nt pour elle de la Convention</w:t>
      </w:r>
      <w:r w:rsidRPr="000B6220" w:rsidR="00105B6D">
        <w:t xml:space="preserve">, et que cet </w:t>
      </w:r>
      <w:r w:rsidRPr="000B6220" w:rsidR="00B14F8B">
        <w:t>argument n</w:t>
      </w:r>
      <w:r w:rsidR="002257E9">
        <w:t>’</w:t>
      </w:r>
      <w:r w:rsidR="0067486A">
        <w:t>était</w:t>
      </w:r>
      <w:r w:rsidRPr="000B6220" w:rsidR="00B14F8B">
        <w:t xml:space="preserve"> donc d</w:t>
      </w:r>
      <w:r w:rsidR="002257E9">
        <w:t>’</w:t>
      </w:r>
      <w:r w:rsidRPr="000B6220" w:rsidR="00B14F8B">
        <w:t>aucune utilité aux fins d</w:t>
      </w:r>
      <w:r w:rsidR="002257E9">
        <w:t>’</w:t>
      </w:r>
      <w:r w:rsidRPr="000B6220" w:rsidR="00B14F8B">
        <w:t xml:space="preserve">une interprétation évolutive de la Convention. </w:t>
      </w:r>
      <w:r w:rsidR="00192E51">
        <w:t>Dans ces conditions</w:t>
      </w:r>
      <w:r w:rsidRPr="000B6220" w:rsidR="00B14F8B">
        <w:t xml:space="preserve">, la chambre a </w:t>
      </w:r>
      <w:r w:rsidR="00192E51">
        <w:t>jugé</w:t>
      </w:r>
      <w:r w:rsidRPr="000B6220" w:rsidR="00B14F8B">
        <w:t xml:space="preserve"> que l</w:t>
      </w:r>
      <w:r w:rsidR="002257E9">
        <w:t>’</w:t>
      </w:r>
      <w:r w:rsidRPr="000B6220" w:rsidR="00B14F8B">
        <w:t>article 9 ne garantissait pas le droit de refuser d</w:t>
      </w:r>
      <w:r w:rsidR="002257E9">
        <w:t>’</w:t>
      </w:r>
      <w:r w:rsidRPr="000B6220" w:rsidR="00B14F8B">
        <w:t>accomplir le service militaire pour des motifs de cons</w:t>
      </w:r>
      <w:r w:rsidRPr="000B6220" w:rsidR="00464A9A">
        <w:t>cience et que cette disposition</w:t>
      </w:r>
      <w:r w:rsidRPr="000B6220" w:rsidR="00B14F8B">
        <w:t xml:space="preserve"> n</w:t>
      </w:r>
      <w:r w:rsidR="002257E9">
        <w:t>’</w:t>
      </w:r>
      <w:r w:rsidRPr="000B6220" w:rsidR="00B14F8B">
        <w:t>était donc pas applicable à l</w:t>
      </w:r>
      <w:r w:rsidR="002257E9">
        <w:t>’</w:t>
      </w:r>
      <w:r w:rsidRPr="000B6220" w:rsidR="00B14F8B">
        <w:t xml:space="preserve">affaire. </w:t>
      </w:r>
      <w:r w:rsidR="00A36ADF">
        <w:t xml:space="preserve">Par </w:t>
      </w:r>
      <w:r w:rsidR="004365F9">
        <w:t xml:space="preserve">la </w:t>
      </w:r>
      <w:r w:rsidR="00A36ADF">
        <w:t>suite</w:t>
      </w:r>
      <w:r w:rsidR="0094616E">
        <w:t>, e</w:t>
      </w:r>
      <w:r w:rsidR="00E53F11">
        <w:t xml:space="preserve">lle a </w:t>
      </w:r>
      <w:r w:rsidR="00A36ADF">
        <w:t>estimé ne pas pouvoir</w:t>
      </w:r>
      <w:r w:rsidRPr="000B6220" w:rsidR="00B14F8B">
        <w:t xml:space="preserve"> considérer que les autorités </w:t>
      </w:r>
      <w:r w:rsidR="0067486A">
        <w:t>avaient</w:t>
      </w:r>
      <w:r w:rsidRPr="000B6220" w:rsidR="00B14F8B">
        <w:t xml:space="preserve"> méconnu leurs obligations </w:t>
      </w:r>
      <w:r w:rsidRPr="000B6220" w:rsidR="00105B6D">
        <w:t>au titre</w:t>
      </w:r>
      <w:r w:rsidRPr="000B6220" w:rsidR="00B14F8B">
        <w:t xml:space="preserve"> de la Convention en condamnant le requérant </w:t>
      </w:r>
      <w:r w:rsidRPr="000B6220" w:rsidR="00105B6D">
        <w:t>pour son refus</w:t>
      </w:r>
      <w:r w:rsidRPr="000B6220" w:rsidR="00B14F8B">
        <w:t xml:space="preserve"> d</w:t>
      </w:r>
      <w:r w:rsidR="002257E9">
        <w:t>’</w:t>
      </w:r>
      <w:r w:rsidRPr="000B6220" w:rsidR="00B14F8B">
        <w:t>accomplir son service militaire.</w:t>
      </w:r>
    </w:p>
    <w:p w:rsidRPr="000B6220" w:rsidR="00E71F66" w:rsidP="00E05F30" w:rsidRDefault="00E71F66">
      <w:pPr>
        <w:pStyle w:val="JuHA"/>
        <w:outlineLvl w:val="0"/>
      </w:pPr>
      <w:r w:rsidRPr="000B6220">
        <w:t>B.  Les arguments des parties</w:t>
      </w:r>
    </w:p>
    <w:p w:rsidRPr="000B6220" w:rsidR="006C5B9E" w:rsidP="00E05F30" w:rsidRDefault="006C5B9E">
      <w:pPr>
        <w:pStyle w:val="JuH1"/>
        <w:outlineLvl w:val="0"/>
      </w:pPr>
      <w:r w:rsidRPr="000B6220">
        <w:t>1.  </w:t>
      </w:r>
      <w:r w:rsidRPr="000B6220" w:rsidR="00E71F66">
        <w:t>Le requérant</w:t>
      </w:r>
    </w:p>
    <w:p w:rsidRPr="000B6220" w:rsidR="00E71F66" w:rsidP="00E05F30" w:rsidRDefault="00E71F66">
      <w:pPr>
        <w:pStyle w:val="JuHa0"/>
      </w:pPr>
      <w:r w:rsidRPr="000B6220">
        <w:t>a)  Applicabilité de l</w:t>
      </w:r>
      <w:r w:rsidR="002257E9">
        <w:t>’</w:t>
      </w:r>
      <w:r w:rsidRPr="000B6220">
        <w:t>article 9</w:t>
      </w:r>
    </w:p>
    <w:p w:rsidRPr="000B6220" w:rsidR="006C5B9E"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73</w:t>
      </w:r>
      <w:r w:rsidRPr="000B6220">
        <w:fldChar w:fldCharType="end"/>
      </w:r>
      <w:r w:rsidRPr="000B6220" w:rsidR="006C5B9E">
        <w:t>.  </w:t>
      </w:r>
      <w:r w:rsidRPr="000B6220" w:rsidR="00E71F66">
        <w:t>Le requérant</w:t>
      </w:r>
      <w:r w:rsidRPr="000B6220" w:rsidR="00E37FD3">
        <w:t xml:space="preserve"> soutient que, en refusant d</w:t>
      </w:r>
      <w:r w:rsidR="002257E9">
        <w:t>’</w:t>
      </w:r>
      <w:r w:rsidRPr="000B6220" w:rsidR="00E37FD3">
        <w:t xml:space="preserve">appliquer la théorie de </w:t>
      </w:r>
      <w:r w:rsidRPr="000B6220" w:rsidR="00681E88">
        <w:t>« </w:t>
      </w:r>
      <w:r w:rsidRPr="000B6220" w:rsidR="004365F9">
        <w:t>l</w:t>
      </w:r>
      <w:r w:rsidR="002257E9">
        <w:t>’</w:t>
      </w:r>
      <w:r w:rsidRPr="000B6220" w:rsidR="00E37FD3">
        <w:t>instrument vivant</w:t>
      </w:r>
      <w:r w:rsidRPr="000B6220" w:rsidR="00681E88">
        <w:t> »</w:t>
      </w:r>
      <w:r w:rsidRPr="000B6220" w:rsidR="00E37FD3">
        <w:t xml:space="preserve">, la chambre </w:t>
      </w:r>
      <w:r w:rsidRPr="000B6220" w:rsidR="00681E88">
        <w:t>a figé</w:t>
      </w:r>
      <w:r w:rsidRPr="000B6220" w:rsidR="00E37FD3">
        <w:t xml:space="preserve"> l</w:t>
      </w:r>
      <w:r w:rsidR="002257E9">
        <w:t>’</w:t>
      </w:r>
      <w:r w:rsidRPr="000B6220" w:rsidR="00E37FD3">
        <w:t>interprétation de la Commission européenne des droits de l</w:t>
      </w:r>
      <w:r w:rsidR="002257E9">
        <w:t>’</w:t>
      </w:r>
      <w:r w:rsidRPr="000B6220" w:rsidR="00E37FD3">
        <w:t>homme selon laquelle l</w:t>
      </w:r>
      <w:r w:rsidR="002257E9">
        <w:t>’</w:t>
      </w:r>
      <w:r w:rsidRPr="000B6220" w:rsidR="00E37FD3">
        <w:t>applicabilité de l</w:t>
      </w:r>
      <w:r w:rsidR="002257E9">
        <w:t>’</w:t>
      </w:r>
      <w:r w:rsidRPr="000B6220" w:rsidR="00E37FD3">
        <w:t xml:space="preserve">article 9 </w:t>
      </w:r>
      <w:r w:rsidR="00192E51">
        <w:t>au</w:t>
      </w:r>
      <w:r w:rsidR="00A36ADF">
        <w:t>x</w:t>
      </w:r>
      <w:r w:rsidRPr="000B6220" w:rsidR="00E37FD3">
        <w:t xml:space="preserve"> objecteurs de conscience</w:t>
      </w:r>
      <w:r w:rsidR="00192E51">
        <w:t xml:space="preserve"> est limitée par le jeu de l</w:t>
      </w:r>
      <w:r w:rsidR="002257E9">
        <w:t>’</w:t>
      </w:r>
      <w:r w:rsidR="00192E51">
        <w:t xml:space="preserve">article 4 § </w:t>
      </w:r>
      <w:r w:rsidR="00E654AF">
        <w:t>3</w:t>
      </w:r>
      <w:r w:rsidR="00192E51">
        <w:t xml:space="preserve"> b)</w:t>
      </w:r>
      <w:r w:rsidRPr="000B6220" w:rsidR="00E37FD3">
        <w:t xml:space="preserve">, et ce sans </w:t>
      </w:r>
      <w:r w:rsidRPr="000B6220" w:rsidR="00105B6D">
        <w:t xml:space="preserve">apporter de </w:t>
      </w:r>
      <w:r w:rsidRPr="000B6220" w:rsidR="00E37FD3">
        <w:t xml:space="preserve">justification ni </w:t>
      </w:r>
      <w:r w:rsidRPr="000B6220" w:rsidR="00105B6D">
        <w:t>d</w:t>
      </w:r>
      <w:r w:rsidR="002257E9">
        <w:t>’</w:t>
      </w:r>
      <w:r w:rsidRPr="000B6220" w:rsidR="00E37FD3">
        <w:t xml:space="preserve">explication. </w:t>
      </w:r>
      <w:r w:rsidRPr="000B6220" w:rsidR="00105B6D">
        <w:t>Or</w:t>
      </w:r>
      <w:r w:rsidRPr="000B6220" w:rsidR="00E37FD3">
        <w:t xml:space="preserve"> l</w:t>
      </w:r>
      <w:r w:rsidR="002257E9">
        <w:t>’</w:t>
      </w:r>
      <w:r w:rsidRPr="000B6220" w:rsidR="00E37FD3">
        <w:t xml:space="preserve">article 4 § 3 b) ne </w:t>
      </w:r>
      <w:r w:rsidR="00E53F11">
        <w:t>pourrait</w:t>
      </w:r>
      <w:r w:rsidRPr="000B6220" w:rsidR="00E37FD3">
        <w:t xml:space="preserve"> être légitimement </w:t>
      </w:r>
      <w:r w:rsidRPr="000B6220" w:rsidR="00681E88">
        <w:t xml:space="preserve">invoqué </w:t>
      </w:r>
      <w:r w:rsidRPr="000B6220" w:rsidR="00E37FD3">
        <w:t>pour dire que le droit à l</w:t>
      </w:r>
      <w:r w:rsidR="002257E9">
        <w:t>’</w:t>
      </w:r>
      <w:r w:rsidRPr="000B6220" w:rsidR="00E37FD3">
        <w:t>objection de conscience n</w:t>
      </w:r>
      <w:r w:rsidR="002257E9">
        <w:t>’</w:t>
      </w:r>
      <w:r w:rsidRPr="000B6220" w:rsidR="00E37FD3">
        <w:t>est pas garanti par l</w:t>
      </w:r>
      <w:r w:rsidR="002257E9">
        <w:t>’</w:t>
      </w:r>
      <w:r w:rsidRPr="000B6220" w:rsidR="00E37FD3">
        <w:t xml:space="preserve">article 9, </w:t>
      </w:r>
      <w:r w:rsidRPr="000B6220" w:rsidR="00105B6D">
        <w:t>surtout</w:t>
      </w:r>
      <w:r w:rsidRPr="000B6220" w:rsidR="00E37FD3">
        <w:t xml:space="preserve"> s</w:t>
      </w:r>
      <w:r w:rsidR="002257E9">
        <w:t>’</w:t>
      </w:r>
      <w:r w:rsidRPr="000B6220" w:rsidR="00E37FD3">
        <w:t>agissant de l</w:t>
      </w:r>
      <w:r w:rsidR="002257E9">
        <w:t>’</w:t>
      </w:r>
      <w:r w:rsidRPr="000B6220" w:rsidR="00E37FD3">
        <w:t xml:space="preserve">Arménie, pays qui </w:t>
      </w:r>
      <w:r w:rsidRPr="000B6220" w:rsidR="00464A9A">
        <w:t>se serait</w:t>
      </w:r>
      <w:r w:rsidRPr="000B6220" w:rsidR="00E37FD3">
        <w:t xml:space="preserve"> </w:t>
      </w:r>
      <w:r w:rsidRPr="000B6220" w:rsidR="00105B6D">
        <w:t xml:space="preserve">officiellement </w:t>
      </w:r>
      <w:r w:rsidRPr="000B6220" w:rsidR="00E37FD3">
        <w:t xml:space="preserve">engagé depuis 2000 à reconnaître </w:t>
      </w:r>
      <w:r w:rsidR="00AE1BCC">
        <w:t>l</w:t>
      </w:r>
      <w:r w:rsidR="002257E9">
        <w:t>’</w:t>
      </w:r>
      <w:r w:rsidR="00AE1BCC">
        <w:t>objection</w:t>
      </w:r>
      <w:r w:rsidRPr="000B6220" w:rsidR="00E37FD3">
        <w:t xml:space="preserve"> de conscience. </w:t>
      </w:r>
      <w:r w:rsidRPr="000B6220" w:rsidR="00681E88">
        <w:t>S</w:t>
      </w:r>
      <w:r w:rsidR="002257E9">
        <w:t>’</w:t>
      </w:r>
      <w:r w:rsidRPr="000B6220" w:rsidR="00681E88">
        <w:t>appuyant sur</w:t>
      </w:r>
      <w:r w:rsidRPr="000B6220" w:rsidR="00E37FD3">
        <w:t xml:space="preserve"> les travaux préparatoires, le requérant </w:t>
      </w:r>
      <w:r w:rsidRPr="000B6220" w:rsidR="00464A9A">
        <w:t>avance</w:t>
      </w:r>
      <w:r w:rsidRPr="000B6220" w:rsidR="00E37FD3">
        <w:t xml:space="preserve"> qu</w:t>
      </w:r>
      <w:r w:rsidR="002257E9">
        <w:t>’</w:t>
      </w:r>
      <w:r w:rsidRPr="000B6220" w:rsidR="00E37FD3">
        <w:t>il n</w:t>
      </w:r>
      <w:r w:rsidR="002257E9">
        <w:t>’</w:t>
      </w:r>
      <w:r w:rsidRPr="000B6220" w:rsidR="00E37FD3">
        <w:t xml:space="preserve">a jamais été prévu </w:t>
      </w:r>
      <w:r w:rsidRPr="000B6220" w:rsidR="00105B6D">
        <w:t>de combiner</w:t>
      </w:r>
      <w:r w:rsidRPr="000B6220" w:rsidR="00E37FD3">
        <w:t xml:space="preserve"> l</w:t>
      </w:r>
      <w:r w:rsidR="002257E9">
        <w:t>’</w:t>
      </w:r>
      <w:r w:rsidR="00C27424">
        <w:t xml:space="preserve">article 4 § 3 </w:t>
      </w:r>
      <w:r w:rsidRPr="000B6220" w:rsidR="00E37FD3">
        <w:t xml:space="preserve">b) </w:t>
      </w:r>
      <w:r w:rsidRPr="000B6220" w:rsidR="00105B6D">
        <w:t>avec</w:t>
      </w:r>
      <w:r w:rsidRPr="000B6220" w:rsidR="00E37FD3">
        <w:t xml:space="preserve"> l</w:t>
      </w:r>
      <w:r w:rsidR="002257E9">
        <w:t>’</w:t>
      </w:r>
      <w:r w:rsidRPr="000B6220" w:rsidR="00E37FD3">
        <w:t>article 9</w:t>
      </w:r>
      <w:r w:rsidRPr="000B6220" w:rsidR="00105B6D">
        <w:t>,</w:t>
      </w:r>
      <w:r w:rsidRPr="000B6220" w:rsidR="00E37FD3">
        <w:t xml:space="preserve"> mais </w:t>
      </w:r>
      <w:r w:rsidRPr="000B6220" w:rsidR="00681E88">
        <w:t>que cette disposition</w:t>
      </w:r>
      <w:r w:rsidRPr="000B6220" w:rsidR="00E37FD3">
        <w:t xml:space="preserve"> a été conçu</w:t>
      </w:r>
      <w:r w:rsidRPr="000B6220" w:rsidR="00681E88">
        <w:t>e</w:t>
      </w:r>
      <w:r w:rsidRPr="000B6220" w:rsidR="00E37FD3">
        <w:t xml:space="preserve"> dans le seul but de préciser la portée </w:t>
      </w:r>
      <w:r w:rsidRPr="000B6220" w:rsidR="00464A9A">
        <w:t>de</w:t>
      </w:r>
      <w:r w:rsidRPr="000B6220" w:rsidR="00681E88">
        <w:t xml:space="preserve"> l</w:t>
      </w:r>
      <w:r w:rsidR="002257E9">
        <w:t>’</w:t>
      </w:r>
      <w:r w:rsidR="00C27424">
        <w:t xml:space="preserve">article 4 </w:t>
      </w:r>
      <w:r w:rsidRPr="000B6220" w:rsidR="00681E88">
        <w:t>§ 2</w:t>
      </w:r>
      <w:r w:rsidRPr="000B6220" w:rsidR="00E37FD3">
        <w:t xml:space="preserve"> et ne reconnaît ni n</w:t>
      </w:r>
      <w:r w:rsidR="002257E9">
        <w:t>’</w:t>
      </w:r>
      <w:r w:rsidRPr="000B6220" w:rsidR="00E37FD3">
        <w:t>exclut le droit à l</w:t>
      </w:r>
      <w:r w:rsidR="002257E9">
        <w:t>’</w:t>
      </w:r>
      <w:r w:rsidRPr="000B6220" w:rsidR="00E37FD3">
        <w:t>objection de conscience. L</w:t>
      </w:r>
      <w:r w:rsidR="002257E9">
        <w:t>’</w:t>
      </w:r>
      <w:r w:rsidRPr="000B6220" w:rsidR="00E37FD3">
        <w:t>article 4 § 3 b) n</w:t>
      </w:r>
      <w:r w:rsidR="002257E9">
        <w:t>’</w:t>
      </w:r>
      <w:r w:rsidRPr="000B6220" w:rsidR="00E37FD3">
        <w:t>étant appliqué à aucune autre disposition de la Convention, il n</w:t>
      </w:r>
      <w:r w:rsidR="002257E9">
        <w:t>’</w:t>
      </w:r>
      <w:r w:rsidRPr="000B6220" w:rsidR="00E37FD3">
        <w:t>y aurait aucune raison de le comb</w:t>
      </w:r>
      <w:r w:rsidR="00A36ADF">
        <w:t>iner avec</w:t>
      </w:r>
      <w:r w:rsidRPr="000B6220" w:rsidR="00E37FD3">
        <w:t xml:space="preserve"> l</w:t>
      </w:r>
      <w:r w:rsidR="002257E9">
        <w:t>’</w:t>
      </w:r>
      <w:r w:rsidRPr="000B6220" w:rsidR="00E37FD3">
        <w:t>article 9 en particulier. A supposer qu</w:t>
      </w:r>
      <w:r w:rsidR="002257E9">
        <w:t>’</w:t>
      </w:r>
      <w:r w:rsidRPr="000B6220" w:rsidR="00E37FD3">
        <w:t xml:space="preserve">il </w:t>
      </w:r>
      <w:r w:rsidR="00A36ADF">
        <w:t>eût</w:t>
      </w:r>
      <w:r w:rsidRPr="000B6220" w:rsidR="00E37FD3">
        <w:t xml:space="preserve"> été prévu </w:t>
      </w:r>
      <w:r w:rsidRPr="000B6220" w:rsidR="00105B6D">
        <w:t>à l</w:t>
      </w:r>
      <w:r w:rsidR="002257E9">
        <w:t>’</w:t>
      </w:r>
      <w:r w:rsidRPr="000B6220" w:rsidR="00105B6D">
        <w:t xml:space="preserve">origine </w:t>
      </w:r>
      <w:r w:rsidRPr="000B6220" w:rsidR="00E37FD3">
        <w:t>d</w:t>
      </w:r>
      <w:r w:rsidR="002257E9">
        <w:t>’</w:t>
      </w:r>
      <w:r w:rsidRPr="000B6220" w:rsidR="00E37FD3">
        <w:t>exclure les objecteurs de conscience du champ d</w:t>
      </w:r>
      <w:r w:rsidR="002257E9">
        <w:t>’</w:t>
      </w:r>
      <w:r w:rsidRPr="000B6220" w:rsidR="00E37FD3">
        <w:t>application de l</w:t>
      </w:r>
      <w:r w:rsidR="002257E9">
        <w:t>’</w:t>
      </w:r>
      <w:r w:rsidRPr="000B6220" w:rsidR="00E37FD3">
        <w:t xml:space="preserve">article 9, </w:t>
      </w:r>
      <w:r w:rsidRPr="000B6220" w:rsidR="007E3E2B">
        <w:t xml:space="preserve">les auteurs de la Convention auraient facilement pu </w:t>
      </w:r>
      <w:r w:rsidRPr="000B6220" w:rsidR="00105B6D">
        <w:t>insérer</w:t>
      </w:r>
      <w:r w:rsidRPr="000B6220" w:rsidR="007E3E2B">
        <w:t xml:space="preserve"> une </w:t>
      </w:r>
      <w:r w:rsidRPr="000B6220" w:rsidR="00681E88">
        <w:t>clause à cet effet</w:t>
      </w:r>
      <w:r w:rsidRPr="000B6220" w:rsidR="007E3E2B">
        <w:t>. C</w:t>
      </w:r>
      <w:r w:rsidR="002257E9">
        <w:t>’</w:t>
      </w:r>
      <w:r w:rsidRPr="000B6220" w:rsidR="007E3E2B">
        <w:t>est pourquoi</w:t>
      </w:r>
      <w:r w:rsidRPr="000B6220" w:rsidR="002F6AE6">
        <w:t xml:space="preserve"> le requérant estime que</w:t>
      </w:r>
      <w:r w:rsidRPr="000B6220" w:rsidR="007E3E2B">
        <w:t>, si elle décidait d</w:t>
      </w:r>
      <w:r w:rsidR="002257E9">
        <w:t>’</w:t>
      </w:r>
      <w:r w:rsidRPr="000B6220" w:rsidR="007E3E2B">
        <w:t>appliquer l</w:t>
      </w:r>
      <w:r w:rsidR="002257E9">
        <w:t>’</w:t>
      </w:r>
      <w:r w:rsidRPr="000B6220" w:rsidR="007E3E2B">
        <w:t>article 9 aux objecteurs de conscience, la Cour ne déduirait pas de la Convention un droit n</w:t>
      </w:r>
      <w:r w:rsidR="002257E9">
        <w:t>’</w:t>
      </w:r>
      <w:r w:rsidRPr="000B6220" w:rsidR="007E3E2B">
        <w:t xml:space="preserve">y </w:t>
      </w:r>
      <w:r w:rsidRPr="000B6220" w:rsidR="002F6AE6">
        <w:t>a</w:t>
      </w:r>
      <w:r w:rsidR="00A36ADF">
        <w:t>yant</w:t>
      </w:r>
      <w:r w:rsidRPr="000B6220" w:rsidR="007E3E2B">
        <w:t xml:space="preserve"> pas été inclus dès le départ.</w:t>
      </w:r>
    </w:p>
    <w:p w:rsidRPr="000B6220" w:rsidR="007E3E2B" w:rsidP="00E05F30" w:rsidRDefault="007E3E2B">
      <w:pPr>
        <w:pStyle w:val="JuPara"/>
      </w:pPr>
      <w:r w:rsidRPr="000B6220">
        <w:fldChar w:fldCharType="begin"/>
      </w:r>
      <w:r w:rsidRPr="000B6220">
        <w:instrText xml:space="preserve"> SEQ level0 \*arabic </w:instrText>
      </w:r>
      <w:r w:rsidRPr="000B6220">
        <w:fldChar w:fldCharType="separate"/>
      </w:r>
      <w:r w:rsidR="00226498">
        <w:rPr>
          <w:noProof/>
        </w:rPr>
        <w:t>74</w:t>
      </w:r>
      <w:r w:rsidRPr="000B6220">
        <w:fldChar w:fldCharType="end"/>
      </w:r>
      <w:r w:rsidRPr="000B6220">
        <w:t>.  </w:t>
      </w:r>
      <w:r w:rsidRPr="000B6220" w:rsidR="002F6AE6">
        <w:t>D</w:t>
      </w:r>
      <w:r w:rsidR="002257E9">
        <w:t>’</w:t>
      </w:r>
      <w:r w:rsidRPr="000B6220" w:rsidR="002F6AE6">
        <w:t>après le requérant, les conditions d</w:t>
      </w:r>
      <w:r w:rsidR="002257E9">
        <w:t>’</w:t>
      </w:r>
      <w:r w:rsidRPr="000B6220" w:rsidR="002F6AE6">
        <w:t>aujourd</w:t>
      </w:r>
      <w:r w:rsidR="002257E9">
        <w:t>’</w:t>
      </w:r>
      <w:r w:rsidRPr="000B6220" w:rsidR="002F6AE6">
        <w:t>hui vont dans le sens d</w:t>
      </w:r>
      <w:r w:rsidR="002257E9">
        <w:t>’</w:t>
      </w:r>
      <w:r w:rsidRPr="000B6220" w:rsidR="002F6AE6">
        <w:t>une reconnaissance du droit à l</w:t>
      </w:r>
      <w:r w:rsidR="002257E9">
        <w:t>’</w:t>
      </w:r>
      <w:r w:rsidRPr="000B6220" w:rsidR="002F6AE6">
        <w:t xml:space="preserve">objection de conscience </w:t>
      </w:r>
      <w:r w:rsidR="00AE1BCC">
        <w:t>sous l</w:t>
      </w:r>
      <w:r w:rsidR="002257E9">
        <w:t>’</w:t>
      </w:r>
      <w:r w:rsidR="00AE1BCC">
        <w:t>angle</w:t>
      </w:r>
      <w:r w:rsidRPr="000B6220" w:rsidR="002F6AE6">
        <w:t xml:space="preserve"> de l</w:t>
      </w:r>
      <w:r w:rsidR="002257E9">
        <w:t>’</w:t>
      </w:r>
      <w:r w:rsidRPr="000B6220" w:rsidR="002F6AE6">
        <w:t xml:space="preserve">article 9 </w:t>
      </w:r>
      <w:r w:rsidRPr="000B6220" w:rsidR="00105B6D">
        <w:t>puis</w:t>
      </w:r>
      <w:r w:rsidRPr="000B6220" w:rsidR="002F6AE6">
        <w:t xml:space="preserve">que </w:t>
      </w:r>
      <w:r w:rsidRPr="000B6220" w:rsidR="00AE1BCC">
        <w:t>presque tous les Etats membres du Conseil de l</w:t>
      </w:r>
      <w:r w:rsidR="002257E9">
        <w:t>’</w:t>
      </w:r>
      <w:r w:rsidRPr="000B6220" w:rsidR="00AE1BCC">
        <w:t xml:space="preserve">Europe </w:t>
      </w:r>
      <w:r w:rsidR="009F35F4">
        <w:t>l</w:t>
      </w:r>
      <w:r w:rsidR="002257E9">
        <w:t>’</w:t>
      </w:r>
      <w:r w:rsidR="009F35F4">
        <w:t xml:space="preserve">ont </w:t>
      </w:r>
      <w:r w:rsidRPr="000B6220" w:rsidR="009F35F4">
        <w:t xml:space="preserve">progressivement reconnu </w:t>
      </w:r>
      <w:r w:rsidR="009F35F4">
        <w:t>au fil du temps</w:t>
      </w:r>
      <w:r w:rsidRPr="000B6220" w:rsidR="002F6AE6">
        <w:t>. Ce consensus</w:t>
      </w:r>
      <w:r w:rsidRPr="000B6220" w:rsidR="00681E88">
        <w:t xml:space="preserve"> se refléterait</w:t>
      </w:r>
      <w:r w:rsidRPr="000B6220" w:rsidR="00867CAD">
        <w:t xml:space="preserve"> également dans la position adoptée par les </w:t>
      </w:r>
      <w:r w:rsidR="009F35F4">
        <w:t>institutions</w:t>
      </w:r>
      <w:r w:rsidRPr="000B6220" w:rsidR="00867CAD">
        <w:t xml:space="preserve"> du Conseil de l</w:t>
      </w:r>
      <w:r w:rsidR="002257E9">
        <w:t>’</w:t>
      </w:r>
      <w:r w:rsidRPr="000B6220" w:rsidR="00867CAD">
        <w:t>Europe et de l</w:t>
      </w:r>
      <w:r w:rsidR="002257E9">
        <w:t>’</w:t>
      </w:r>
      <w:r w:rsidRPr="000B6220" w:rsidR="00867CAD">
        <w:t>Union européenne. De plus, la reconnaissance du droit à l</w:t>
      </w:r>
      <w:r w:rsidR="002257E9">
        <w:t>’</w:t>
      </w:r>
      <w:r w:rsidRPr="000B6220" w:rsidR="00867CAD">
        <w:t xml:space="preserve">objection de conscience </w:t>
      </w:r>
      <w:r w:rsidRPr="000B6220" w:rsidR="00681E88">
        <w:t>serait</w:t>
      </w:r>
      <w:r w:rsidRPr="000B6220" w:rsidR="00867CAD">
        <w:t xml:space="preserve"> désormais l</w:t>
      </w:r>
      <w:r w:rsidR="002257E9">
        <w:t>’</w:t>
      </w:r>
      <w:r w:rsidRPr="000B6220" w:rsidR="00867CAD">
        <w:t>une des conditions préalable</w:t>
      </w:r>
      <w:r w:rsidRPr="000B6220" w:rsidR="00681E88">
        <w:t>s</w:t>
      </w:r>
      <w:r w:rsidRPr="000B6220" w:rsidR="00867CAD">
        <w:t xml:space="preserve"> à l</w:t>
      </w:r>
      <w:r w:rsidR="002257E9">
        <w:t>’</w:t>
      </w:r>
      <w:r w:rsidRPr="000B6220" w:rsidR="00867CAD">
        <w:t xml:space="preserve">adhésion de nouveaux </w:t>
      </w:r>
      <w:r w:rsidR="009F35F4">
        <w:t>Etats</w:t>
      </w:r>
      <w:r w:rsidRPr="000B6220" w:rsidR="00867CAD">
        <w:t xml:space="preserve"> au Conseil de l</w:t>
      </w:r>
      <w:r w:rsidR="002257E9">
        <w:t>’</w:t>
      </w:r>
      <w:r w:rsidRPr="000B6220" w:rsidR="00867CAD">
        <w:t>Europe. Par ailleurs, la chambre a</w:t>
      </w:r>
      <w:r w:rsidRPr="000B6220" w:rsidR="00681E88">
        <w:t>urait</w:t>
      </w:r>
      <w:r w:rsidRPr="000B6220" w:rsidR="00867CAD">
        <w:t xml:space="preserve"> négligé de prendre en compte les développements importants en la matière intervenus au sein des organes des Nations unie</w:t>
      </w:r>
      <w:r w:rsidRPr="000B6220" w:rsidR="00681E88">
        <w:t xml:space="preserve">s, </w:t>
      </w:r>
      <w:r w:rsidR="009F35F4">
        <w:t xml:space="preserve">notamment </w:t>
      </w:r>
      <w:r w:rsidRPr="000B6220" w:rsidR="00681E88">
        <w:t>l</w:t>
      </w:r>
      <w:r w:rsidR="002257E9">
        <w:t>’</w:t>
      </w:r>
      <w:r w:rsidRPr="000B6220" w:rsidR="00681E88">
        <w:t>interprétation donnée</w:t>
      </w:r>
      <w:r w:rsidRPr="000B6220" w:rsidR="00867CAD">
        <w:t xml:space="preserve"> par le Comité des droits de l</w:t>
      </w:r>
      <w:r w:rsidR="002257E9">
        <w:t>’</w:t>
      </w:r>
      <w:r w:rsidRPr="000B6220" w:rsidR="00867CAD">
        <w:t xml:space="preserve">homme aux dispositions du PIDCP </w:t>
      </w:r>
      <w:r w:rsidR="009F35F4">
        <w:t>correspondant à</w:t>
      </w:r>
      <w:r w:rsidRPr="000B6220" w:rsidR="00867CAD">
        <w:t xml:space="preserve"> celles de la Convention. </w:t>
      </w:r>
      <w:r w:rsidRPr="000B6220" w:rsidR="00464A9A">
        <w:t xml:space="preserve">Pour le requérant, il est </w:t>
      </w:r>
      <w:r w:rsidRPr="000B6220" w:rsidR="00867CAD">
        <w:t>nécessaire que la Cour énonce clairement sa position sur la question car c</w:t>
      </w:r>
      <w:r w:rsidR="002257E9">
        <w:t>’</w:t>
      </w:r>
      <w:r w:rsidRPr="000B6220" w:rsidR="00867CAD">
        <w:t>est toujours la Commission, et non la Cour, qui a refusé d</w:t>
      </w:r>
      <w:r w:rsidR="002257E9">
        <w:t>’</w:t>
      </w:r>
      <w:r w:rsidRPr="000B6220" w:rsidR="00867CAD">
        <w:t>appliquer l</w:t>
      </w:r>
      <w:r w:rsidR="002257E9">
        <w:t>’</w:t>
      </w:r>
      <w:r w:rsidRPr="000B6220" w:rsidR="00867CAD">
        <w:t xml:space="preserve">article 9 aux objecteurs de conscience. De surcroît, </w:t>
      </w:r>
      <w:r w:rsidRPr="000B6220" w:rsidR="00525CF3">
        <w:t xml:space="preserve">il </w:t>
      </w:r>
      <w:r w:rsidRPr="000B6220" w:rsidR="00105B6D">
        <w:t>n</w:t>
      </w:r>
      <w:r w:rsidR="002257E9">
        <w:t>’</w:t>
      </w:r>
      <w:r w:rsidRPr="000B6220" w:rsidR="00105B6D">
        <w:t>aurait été ni</w:t>
      </w:r>
      <w:r w:rsidRPr="000B6220" w:rsidR="00525CF3">
        <w:t xml:space="preserve"> approprié de la part de la chambre de s</w:t>
      </w:r>
      <w:r w:rsidR="002257E9">
        <w:t>’</w:t>
      </w:r>
      <w:r w:rsidRPr="000B6220" w:rsidR="00525CF3">
        <w:t xml:space="preserve">appuyer sur la position de la Commission, car cela </w:t>
      </w:r>
      <w:r w:rsidRPr="000B6220" w:rsidR="00105B6D">
        <w:t>irait</w:t>
      </w:r>
      <w:r w:rsidRPr="000B6220" w:rsidR="00525CF3">
        <w:t xml:space="preserve"> à l</w:t>
      </w:r>
      <w:r w:rsidR="002257E9">
        <w:t>’</w:t>
      </w:r>
      <w:r w:rsidRPr="000B6220" w:rsidR="00525CF3">
        <w:t>encontre du but et de l</w:t>
      </w:r>
      <w:r w:rsidR="002257E9">
        <w:t>’</w:t>
      </w:r>
      <w:r w:rsidRPr="000B6220" w:rsidR="00525CF3">
        <w:t>objet de la Convention</w:t>
      </w:r>
      <w:r w:rsidRPr="000B6220" w:rsidR="00105B6D">
        <w:t>, ni juste</w:t>
      </w:r>
      <w:r w:rsidRPr="000B6220" w:rsidR="00525CF3">
        <w:t xml:space="preserve">, car on </w:t>
      </w:r>
      <w:r w:rsidRPr="000B6220" w:rsidR="00BD5065">
        <w:t>pourrait</w:t>
      </w:r>
      <w:r w:rsidRPr="000B6220" w:rsidR="00525CF3">
        <w:t xml:space="preserve"> discerner une évolution allant dans le sens de la reconnaissance du droit à l</w:t>
      </w:r>
      <w:r w:rsidR="002257E9">
        <w:t>’</w:t>
      </w:r>
      <w:r w:rsidRPr="000B6220" w:rsidR="00525CF3">
        <w:t xml:space="preserve">objection de conscience même dans la position de la Commission. Pour finir, le requérant </w:t>
      </w:r>
      <w:r w:rsidR="00AD66F5">
        <w:t>soutient</w:t>
      </w:r>
      <w:r w:rsidRPr="000B6220" w:rsidR="00525CF3">
        <w:t xml:space="preserve"> que la question va au-delà de son cas particulier car elle emporte de graves conséquences qui touchent des centaines de jeunes gens se trouvant dans une situation similaire </w:t>
      </w:r>
      <w:r w:rsidRPr="000B6220" w:rsidR="00105B6D">
        <w:t>dans les pays</w:t>
      </w:r>
      <w:r w:rsidRPr="000B6220" w:rsidR="00525CF3">
        <w:t xml:space="preserve"> du Conseil de l</w:t>
      </w:r>
      <w:r w:rsidR="002257E9">
        <w:t>’</w:t>
      </w:r>
      <w:r w:rsidRPr="000B6220" w:rsidR="00525CF3">
        <w:t>Europe et des milliers d</w:t>
      </w:r>
      <w:r w:rsidR="002257E9">
        <w:t>’</w:t>
      </w:r>
      <w:r w:rsidRPr="000B6220" w:rsidR="00525CF3">
        <w:t>autres dans le monde entier.</w:t>
      </w:r>
    </w:p>
    <w:p w:rsidRPr="000B6220" w:rsidR="00E71F66" w:rsidP="00E05F30" w:rsidRDefault="00E71F66">
      <w:pPr>
        <w:pStyle w:val="JuHa0"/>
      </w:pPr>
      <w:r w:rsidRPr="000B6220">
        <w:t>b)  Observation de l</w:t>
      </w:r>
      <w:r w:rsidR="002257E9">
        <w:t>’</w:t>
      </w:r>
      <w:r w:rsidRPr="000B6220">
        <w:t>article 9</w:t>
      </w:r>
    </w:p>
    <w:p w:rsidRPr="000B6220" w:rsidR="00961EF0" w:rsidP="00E05F30" w:rsidRDefault="00525CF3">
      <w:pPr>
        <w:pStyle w:val="JuPara"/>
      </w:pPr>
      <w:r w:rsidRPr="000B6220">
        <w:fldChar w:fldCharType="begin"/>
      </w:r>
      <w:r w:rsidRPr="000B6220">
        <w:instrText xml:space="preserve"> SEQ level0 \*arabic </w:instrText>
      </w:r>
      <w:r w:rsidRPr="000B6220">
        <w:fldChar w:fldCharType="separate"/>
      </w:r>
      <w:r w:rsidR="00226498">
        <w:rPr>
          <w:noProof/>
        </w:rPr>
        <w:t>75</w:t>
      </w:r>
      <w:r w:rsidRPr="000B6220">
        <w:fldChar w:fldCharType="end"/>
      </w:r>
      <w:r w:rsidRPr="000B6220">
        <w:t>.  </w:t>
      </w:r>
      <w:r w:rsidRPr="000B6220" w:rsidR="00961EF0">
        <w:t xml:space="preserve">Le requérant </w:t>
      </w:r>
      <w:r w:rsidR="00D60C60">
        <w:t>voit dans</w:t>
      </w:r>
      <w:r w:rsidRPr="000B6220" w:rsidR="00961EF0">
        <w:t xml:space="preserve"> sa condamnation une ingérence </w:t>
      </w:r>
      <w:r w:rsidR="00AD66F5">
        <w:t>dans l</w:t>
      </w:r>
      <w:r w:rsidR="002257E9">
        <w:t>’</w:t>
      </w:r>
      <w:r w:rsidR="00AD66F5">
        <w:t xml:space="preserve">exercice </w:t>
      </w:r>
      <w:r w:rsidR="00D410EC">
        <w:t xml:space="preserve">par lui </w:t>
      </w:r>
      <w:r w:rsidR="00AD66F5">
        <w:t>de</w:t>
      </w:r>
      <w:r w:rsidRPr="000B6220" w:rsidR="00961EF0">
        <w:t xml:space="preserve"> son droit de manifester ses convictions religieuses. </w:t>
      </w:r>
      <w:r w:rsidRPr="000B6220" w:rsidR="00393DD6">
        <w:t>Il ajoute que c</w:t>
      </w:r>
      <w:r w:rsidRPr="000B6220" w:rsidR="00961EF0">
        <w:t>ette ingérence n</w:t>
      </w:r>
      <w:r w:rsidR="002257E9">
        <w:t>’</w:t>
      </w:r>
      <w:r w:rsidRPr="000B6220" w:rsidR="00961EF0">
        <w:t>était pas prévue par la loi</w:t>
      </w:r>
      <w:r w:rsidR="00D60C60">
        <w:t>.</w:t>
      </w:r>
      <w:r w:rsidRPr="000B6220" w:rsidR="00961EF0">
        <w:t xml:space="preserve"> </w:t>
      </w:r>
      <w:r w:rsidR="00D60C60">
        <w:t>E</w:t>
      </w:r>
      <w:r w:rsidRPr="000B6220" w:rsidR="00961EF0">
        <w:t xml:space="preserve">n le condamnant, </w:t>
      </w:r>
      <w:r w:rsidR="00D60C60">
        <w:t>les autorités arméniennes auraient</w:t>
      </w:r>
      <w:r w:rsidRPr="000B6220" w:rsidR="00961EF0">
        <w:t xml:space="preserve"> violé l</w:t>
      </w:r>
      <w:r w:rsidR="002257E9">
        <w:t>’</w:t>
      </w:r>
      <w:r w:rsidRPr="000B6220" w:rsidR="00961EF0">
        <w:t xml:space="preserve">engagement juridiquement contraignant </w:t>
      </w:r>
      <w:r w:rsidRPr="000B6220" w:rsidR="00F15F24">
        <w:t xml:space="preserve">contracté </w:t>
      </w:r>
      <w:r w:rsidR="00D60C60">
        <w:t xml:space="preserve">par elles </w:t>
      </w:r>
      <w:r w:rsidRPr="000B6220" w:rsidR="00F15F24">
        <w:t>à l</w:t>
      </w:r>
      <w:r w:rsidR="002257E9">
        <w:t>’</w:t>
      </w:r>
      <w:r w:rsidRPr="000B6220" w:rsidR="00F15F24">
        <w:t>occasion</w:t>
      </w:r>
      <w:r w:rsidRPr="000B6220" w:rsidR="00961EF0">
        <w:t xml:space="preserve"> de leur adhésion au Conseil de</w:t>
      </w:r>
      <w:r w:rsidRPr="000B6220" w:rsidR="00F15F24">
        <w:t xml:space="preserve"> l</w:t>
      </w:r>
      <w:r w:rsidR="002257E9">
        <w:t>’</w:t>
      </w:r>
      <w:r w:rsidRPr="000B6220" w:rsidR="00F15F24">
        <w:t xml:space="preserve">Europe, à savoir </w:t>
      </w:r>
      <w:r w:rsidRPr="000B6220" w:rsidR="00961EF0">
        <w:t>amnistier tous les objecteurs de conscience condamnés à des peines d</w:t>
      </w:r>
      <w:r w:rsidR="002257E9">
        <w:t>’</w:t>
      </w:r>
      <w:r w:rsidRPr="000B6220" w:rsidR="00961EF0">
        <w:t xml:space="preserve">emprisonnement. </w:t>
      </w:r>
      <w:r w:rsidR="00D60C60">
        <w:t>C</w:t>
      </w:r>
      <w:r w:rsidRPr="000B6220" w:rsidR="00961EF0">
        <w:t>ette obligation internationale étant devenue partie intégrante de l</w:t>
      </w:r>
      <w:r w:rsidR="002257E9">
        <w:t>’</w:t>
      </w:r>
      <w:r w:rsidRPr="000B6220" w:rsidR="00961EF0">
        <w:t>ordre juridique interne, tous les objecteurs de conscience refusant d</w:t>
      </w:r>
      <w:r w:rsidR="002257E9">
        <w:t>’</w:t>
      </w:r>
      <w:r w:rsidRPr="000B6220" w:rsidR="00961EF0">
        <w:t xml:space="preserve">effectuer leur service militaire </w:t>
      </w:r>
      <w:r w:rsidR="00D60C60">
        <w:t>auraient eu</w:t>
      </w:r>
      <w:r w:rsidRPr="000B6220" w:rsidR="00105B6D">
        <w:t xml:space="preserve"> à partir de ce moment </w:t>
      </w:r>
      <w:r w:rsidRPr="000B6220" w:rsidR="00961EF0">
        <w:t>des motifs raisonnable</w:t>
      </w:r>
      <w:r w:rsidRPr="000B6220" w:rsidR="00393DD6">
        <w:t>s</w:t>
      </w:r>
      <w:r w:rsidRPr="000B6220" w:rsidR="00961EF0">
        <w:t xml:space="preserve"> de croire qu</w:t>
      </w:r>
      <w:r w:rsidR="002257E9">
        <w:t>’</w:t>
      </w:r>
      <w:r w:rsidRPr="000B6220" w:rsidR="00961EF0">
        <w:t xml:space="preserve">ils seraient exemptés de cette obligation et </w:t>
      </w:r>
      <w:r w:rsidRPr="000B6220" w:rsidR="00393DD6">
        <w:t>qu</w:t>
      </w:r>
      <w:r w:rsidR="002257E9">
        <w:t>’</w:t>
      </w:r>
      <w:r w:rsidRPr="000B6220" w:rsidR="00105B6D">
        <w:t xml:space="preserve">ils auraient </w:t>
      </w:r>
      <w:r w:rsidRPr="000B6220" w:rsidR="00393DD6">
        <w:t>au bout du compte</w:t>
      </w:r>
      <w:r w:rsidRPr="000B6220" w:rsidR="00961EF0">
        <w:t xml:space="preserve"> la possibilité </w:t>
      </w:r>
      <w:r w:rsidRPr="000B6220" w:rsidR="00393DD6">
        <w:t>d</w:t>
      </w:r>
      <w:r w:rsidR="002257E9">
        <w:t>’</w:t>
      </w:r>
      <w:r w:rsidRPr="000B6220" w:rsidR="00393DD6">
        <w:t>effectuer un service civil de remplacement. En conséquence, le droit interne manquerait de précision puisqu</w:t>
      </w:r>
      <w:r w:rsidR="002257E9">
        <w:t>’</w:t>
      </w:r>
      <w:r w:rsidRPr="000B6220" w:rsidR="00393DD6">
        <w:t xml:space="preserve">il </w:t>
      </w:r>
      <w:r w:rsidRPr="000B6220" w:rsidR="00105B6D">
        <w:t>n</w:t>
      </w:r>
      <w:r w:rsidR="002257E9">
        <w:t>’</w:t>
      </w:r>
      <w:r w:rsidRPr="000B6220" w:rsidR="00105B6D">
        <w:t>aurait</w:t>
      </w:r>
      <w:r w:rsidRPr="000B6220" w:rsidR="00393DD6">
        <w:t xml:space="preserve"> pas </w:t>
      </w:r>
      <w:r w:rsidRPr="000B6220" w:rsidR="00105B6D">
        <w:t xml:space="preserve">été </w:t>
      </w:r>
      <w:r w:rsidRPr="000B6220" w:rsidR="00393DD6">
        <w:t>mis en conformité avec les engagements internationaux juridiquement contraignants contractés par l</w:t>
      </w:r>
      <w:r w:rsidR="002257E9">
        <w:t>’</w:t>
      </w:r>
      <w:r w:rsidRPr="000B6220" w:rsidR="00393DD6">
        <w:t>Arménie.</w:t>
      </w:r>
    </w:p>
    <w:p w:rsidRPr="000B6220" w:rsidR="00393DD6" w:rsidP="00E05F30" w:rsidRDefault="00393DD6">
      <w:pPr>
        <w:pStyle w:val="JuPara"/>
      </w:pPr>
      <w:r w:rsidRPr="000B6220">
        <w:fldChar w:fldCharType="begin"/>
      </w:r>
      <w:r w:rsidRPr="000B6220">
        <w:instrText xml:space="preserve"> SEQ level0 \*arabic </w:instrText>
      </w:r>
      <w:r w:rsidRPr="000B6220">
        <w:fldChar w:fldCharType="separate"/>
      </w:r>
      <w:r w:rsidR="00226498">
        <w:rPr>
          <w:noProof/>
        </w:rPr>
        <w:t>76</w:t>
      </w:r>
      <w:r w:rsidRPr="000B6220">
        <w:fldChar w:fldCharType="end"/>
      </w:r>
      <w:r w:rsidRPr="000B6220">
        <w:t>.  </w:t>
      </w:r>
      <w:r w:rsidRPr="000B6220" w:rsidR="006A05BB">
        <w:t xml:space="preserve">Le requérant </w:t>
      </w:r>
      <w:r w:rsidR="00471E7F">
        <w:t>avance une autre raison permettant selon lui de dire</w:t>
      </w:r>
      <w:r w:rsidRPr="000B6220" w:rsidR="006A05BB">
        <w:t xml:space="preserve"> que l</w:t>
      </w:r>
      <w:r w:rsidR="002257E9">
        <w:t>’</w:t>
      </w:r>
      <w:r w:rsidRPr="000B6220" w:rsidR="006A05BB">
        <w:t>ingérence n</w:t>
      </w:r>
      <w:r w:rsidR="002257E9">
        <w:t>’</w:t>
      </w:r>
      <w:r w:rsidR="00471E7F">
        <w:t>était pas prévue par la loi</w:t>
      </w:r>
      <w:r w:rsidRPr="000B6220" w:rsidR="00414E0D">
        <w:t xml:space="preserve"> : </w:t>
      </w:r>
      <w:r w:rsidR="00571C5C">
        <w:t>après être devenue partie au PIDCP en 1993, l</w:t>
      </w:r>
      <w:r w:rsidR="002257E9">
        <w:t>’</w:t>
      </w:r>
      <w:r w:rsidR="00571C5C">
        <w:t>A</w:t>
      </w:r>
      <w:r w:rsidRPr="000B6220" w:rsidR="00524C7B">
        <w:t xml:space="preserve">rménie </w:t>
      </w:r>
      <w:r w:rsidRPr="000B6220" w:rsidR="002E726D">
        <w:t>n</w:t>
      </w:r>
      <w:r w:rsidR="002257E9">
        <w:t>’</w:t>
      </w:r>
      <w:r w:rsidRPr="000B6220" w:rsidR="002E726D">
        <w:t>aurait</w:t>
      </w:r>
      <w:r w:rsidR="00571C5C">
        <w:t xml:space="preserve"> pas </w:t>
      </w:r>
      <w:r w:rsidR="00B9767D">
        <w:t xml:space="preserve">respecté </w:t>
      </w:r>
      <w:r w:rsidR="00571C5C">
        <w:t>fidèle</w:t>
      </w:r>
      <w:r w:rsidR="00B9767D">
        <w:t>ment l</w:t>
      </w:r>
      <w:r w:rsidR="002257E9">
        <w:t>’</w:t>
      </w:r>
      <w:r w:rsidR="00B9767D">
        <w:t>a</w:t>
      </w:r>
      <w:r w:rsidRPr="000B6220" w:rsidR="00524C7B">
        <w:t xml:space="preserve">rticle 18 </w:t>
      </w:r>
      <w:r w:rsidR="00571C5C">
        <w:t>de ce traité</w:t>
      </w:r>
      <w:r w:rsidRPr="000B6220" w:rsidR="00524C7B">
        <w:t xml:space="preserve"> et la jurisprudence du Comité des droits de l</w:t>
      </w:r>
      <w:r w:rsidR="002257E9">
        <w:t>’</w:t>
      </w:r>
      <w:r w:rsidRPr="000B6220" w:rsidR="00524C7B">
        <w:t xml:space="preserve">homme </w:t>
      </w:r>
      <w:r w:rsidRPr="000B6220" w:rsidR="008340D1">
        <w:t>y afférente</w:t>
      </w:r>
      <w:r w:rsidRPr="000B6220" w:rsidR="00524C7B">
        <w:t xml:space="preserve">, contrairement à ce </w:t>
      </w:r>
      <w:r w:rsidRPr="000B6220" w:rsidR="00414E0D">
        <w:t>qu</w:t>
      </w:r>
      <w:r w:rsidR="002257E9">
        <w:t>’</w:t>
      </w:r>
      <w:r w:rsidRPr="000B6220" w:rsidR="00414E0D">
        <w:t>exige</w:t>
      </w:r>
      <w:r w:rsidRPr="000B6220" w:rsidR="002E726D">
        <w:t>rait</w:t>
      </w:r>
      <w:r w:rsidRPr="000B6220" w:rsidR="00524C7B">
        <w:t xml:space="preserve"> la loi sur la liberté de conscience et les organisations religieuses (paragraphe 44 ci-dessus).</w:t>
      </w:r>
    </w:p>
    <w:p w:rsidRPr="000B6220" w:rsidR="00393DD6" w:rsidP="00E05F30" w:rsidRDefault="00393DD6">
      <w:pPr>
        <w:pStyle w:val="JuPara"/>
      </w:pPr>
      <w:r w:rsidRPr="000B6220">
        <w:fldChar w:fldCharType="begin"/>
      </w:r>
      <w:r w:rsidRPr="000B6220">
        <w:instrText xml:space="preserve"> SEQ level0 \*arabic </w:instrText>
      </w:r>
      <w:r w:rsidRPr="000B6220">
        <w:fldChar w:fldCharType="separate"/>
      </w:r>
      <w:r w:rsidR="00226498">
        <w:rPr>
          <w:noProof/>
        </w:rPr>
        <w:t>77</w:t>
      </w:r>
      <w:r w:rsidRPr="000B6220">
        <w:fldChar w:fldCharType="end"/>
      </w:r>
      <w:r w:rsidRPr="000B6220">
        <w:t>.  </w:t>
      </w:r>
      <w:r w:rsidR="00B9767D">
        <w:rPr>
          <w:szCs w:val="24"/>
          <w:lang w:eastAsia="en-US"/>
        </w:rPr>
        <w:t>L</w:t>
      </w:r>
      <w:r w:rsidR="002257E9">
        <w:rPr>
          <w:szCs w:val="24"/>
          <w:lang w:eastAsia="en-US"/>
        </w:rPr>
        <w:t>’</w:t>
      </w:r>
      <w:r w:rsidR="00B9767D">
        <w:rPr>
          <w:szCs w:val="24"/>
          <w:lang w:eastAsia="en-US"/>
        </w:rPr>
        <w:t>intéressé</w:t>
      </w:r>
      <w:r w:rsidRPr="000B6220" w:rsidR="00F15F24">
        <w:t xml:space="preserve"> allègue enfin que l</w:t>
      </w:r>
      <w:r w:rsidR="002257E9">
        <w:t>’</w:t>
      </w:r>
      <w:r w:rsidRPr="000B6220" w:rsidR="00F15F24">
        <w:t>ingérence n</w:t>
      </w:r>
      <w:r w:rsidR="002257E9">
        <w:t>’</w:t>
      </w:r>
      <w:r w:rsidRPr="000B6220" w:rsidR="00F15F24">
        <w:t>était pas nécessaire dans une société démocratique. Premièrement, il n</w:t>
      </w:r>
      <w:r w:rsidR="002257E9">
        <w:t>’</w:t>
      </w:r>
      <w:r w:rsidR="00387343">
        <w:t>aurait</w:t>
      </w:r>
      <w:r w:rsidRPr="000B6220" w:rsidR="00F15F24">
        <w:t xml:space="preserve"> absolument pas </w:t>
      </w:r>
      <w:r w:rsidR="00387343">
        <w:t xml:space="preserve">été </w:t>
      </w:r>
      <w:r w:rsidRPr="000B6220" w:rsidR="00F15F24">
        <w:t>nécessaire dans une société démocratique de l</w:t>
      </w:r>
      <w:r w:rsidR="002257E9">
        <w:t>’</w:t>
      </w:r>
      <w:r w:rsidRPr="000B6220" w:rsidR="00F15F24">
        <w:t>emprisonner et de le traiter comme un dangereux criminel alors qu</w:t>
      </w:r>
      <w:r w:rsidR="002257E9">
        <w:t>’</w:t>
      </w:r>
      <w:r w:rsidRPr="000B6220" w:rsidR="00F15F24">
        <w:t xml:space="preserve">il </w:t>
      </w:r>
      <w:r w:rsidR="00387343">
        <w:t>n</w:t>
      </w:r>
      <w:r w:rsidR="002257E9">
        <w:t>’</w:t>
      </w:r>
      <w:r w:rsidRPr="000B6220" w:rsidR="00F15F24">
        <w:t xml:space="preserve">était </w:t>
      </w:r>
      <w:r w:rsidR="00387343">
        <w:t>qu</w:t>
      </w:r>
      <w:r w:rsidR="002257E9">
        <w:t>’</w:t>
      </w:r>
      <w:r w:rsidRPr="000B6220" w:rsidR="00F15F24">
        <w:t xml:space="preserve">un simple objecteur de conscience </w:t>
      </w:r>
      <w:r w:rsidRPr="000B6220" w:rsidR="002E726D">
        <w:t xml:space="preserve">au casier judiciaire vierge </w:t>
      </w:r>
      <w:r w:rsidRPr="000B6220" w:rsidR="008340D1">
        <w:t>désireux de vivre</w:t>
      </w:r>
      <w:r w:rsidRPr="000B6220" w:rsidR="00F15F24">
        <w:t xml:space="preserve"> en paix avec ses voisins. Il aurait notamment </w:t>
      </w:r>
      <w:r w:rsidRPr="000B6220" w:rsidR="002E726D">
        <w:t>fait l</w:t>
      </w:r>
      <w:r w:rsidR="002257E9">
        <w:t>’</w:t>
      </w:r>
      <w:r w:rsidRPr="000B6220" w:rsidR="002E726D">
        <w:t xml:space="preserve">objet de recherches confinant </w:t>
      </w:r>
      <w:r w:rsidRPr="000B6220" w:rsidR="008340D1">
        <w:t>au</w:t>
      </w:r>
      <w:r w:rsidRPr="000B6220" w:rsidR="002E726D">
        <w:t xml:space="preserve"> harcèlement, aurait été ensuite arrêté et enfermé dans une cellule dépourvue de literie avec six autres individus emprisonnés pour des crimes divers, et aurait subi les insultes </w:t>
      </w:r>
      <w:r w:rsidRPr="000B6220" w:rsidR="008340D1">
        <w:t xml:space="preserve">et les grossièretés </w:t>
      </w:r>
      <w:r w:rsidRPr="000B6220" w:rsidR="002E726D">
        <w:t>des gardiens. Deuxièmement, il aurait été victime d</w:t>
      </w:r>
      <w:r w:rsidR="002257E9">
        <w:t>’</w:t>
      </w:r>
      <w:r w:rsidRPr="000B6220" w:rsidR="002E726D">
        <w:t>une peine et d</w:t>
      </w:r>
      <w:r w:rsidR="002257E9">
        <w:t>’</w:t>
      </w:r>
      <w:r w:rsidRPr="000B6220" w:rsidR="002E726D">
        <w:t>un traitement totalement disproportionnés sachant qu</w:t>
      </w:r>
      <w:r w:rsidR="002257E9">
        <w:t>’</w:t>
      </w:r>
      <w:r w:rsidRPr="000B6220" w:rsidR="002E726D">
        <w:t>il ne faisait q</w:t>
      </w:r>
      <w:r w:rsidRPr="000B6220" w:rsidR="00FE610D">
        <w:t>u</w:t>
      </w:r>
      <w:r w:rsidR="002257E9">
        <w:t>’</w:t>
      </w:r>
      <w:r w:rsidRPr="000B6220" w:rsidR="00FE610D">
        <w:t>exercer son droit fondamental</w:t>
      </w:r>
      <w:r w:rsidRPr="000B6220" w:rsidR="002E726D">
        <w:t xml:space="preserve"> à la liberté de pensée, de conscience et de religion. Troisièmement, son emprisonnement n</w:t>
      </w:r>
      <w:r w:rsidR="002257E9">
        <w:t>’</w:t>
      </w:r>
      <w:r w:rsidRPr="000B6220" w:rsidR="002E726D">
        <w:t xml:space="preserve">aurait pas été nécessaire </w:t>
      </w:r>
      <w:r w:rsidR="00387343">
        <w:t>puisque les autorités arméniennes aur</w:t>
      </w:r>
      <w:r w:rsidRPr="000B6220" w:rsidR="002E726D">
        <w:t>aient amnistié d</w:t>
      </w:r>
      <w:r w:rsidR="002257E9">
        <w:t>’</w:t>
      </w:r>
      <w:r w:rsidRPr="000B6220" w:rsidR="002E726D">
        <w:t>autres personnes se trouvant dans la même situation</w:t>
      </w:r>
      <w:r w:rsidRPr="000B6220" w:rsidR="00FE610D">
        <w:t xml:space="preserve"> que lui</w:t>
      </w:r>
      <w:r w:rsidRPr="000B6220" w:rsidR="002E726D">
        <w:t xml:space="preserve">. Enfin, la protection militaire du pays </w:t>
      </w:r>
      <w:r w:rsidR="00B076A8">
        <w:t>ne serait</w:t>
      </w:r>
      <w:r w:rsidRPr="000B6220" w:rsidR="008340D1">
        <w:t xml:space="preserve"> pas </w:t>
      </w:r>
      <w:r w:rsidRPr="000B6220" w:rsidR="002E726D">
        <w:t xml:space="preserve">désorganisée ou affaiblie </w:t>
      </w:r>
      <w:r w:rsidR="00471E7F">
        <w:t>si l</w:t>
      </w:r>
      <w:r w:rsidRPr="000B6220" w:rsidR="002E726D">
        <w:t>e</w:t>
      </w:r>
      <w:r w:rsidR="00387343">
        <w:t>s</w:t>
      </w:r>
      <w:r w:rsidRPr="000B6220" w:rsidR="002E726D">
        <w:t xml:space="preserve"> personnes telles que lui</w:t>
      </w:r>
      <w:r w:rsidR="00471E7F">
        <w:t xml:space="preserve"> n</w:t>
      </w:r>
      <w:r w:rsidR="002257E9">
        <w:t>’</w:t>
      </w:r>
      <w:r w:rsidR="00471E7F">
        <w:t>étaient pas punies</w:t>
      </w:r>
      <w:r w:rsidRPr="000B6220" w:rsidR="002E726D">
        <w:t xml:space="preserve">. </w:t>
      </w:r>
      <w:r w:rsidRPr="000B6220" w:rsidR="002802E8">
        <w:t>L</w:t>
      </w:r>
      <w:r w:rsidR="002257E9">
        <w:t>’</w:t>
      </w:r>
      <w:r w:rsidRPr="000B6220" w:rsidR="002802E8">
        <w:t xml:space="preserve">Arménie </w:t>
      </w:r>
      <w:r w:rsidRPr="000B6220" w:rsidR="00FE610D">
        <w:t>aurait en particulier disposé</w:t>
      </w:r>
      <w:r w:rsidRPr="000B6220" w:rsidR="002802E8">
        <w:t xml:space="preserve"> en 2007 de 125 000 conscrits </w:t>
      </w:r>
      <w:r w:rsidRPr="000B6220" w:rsidR="008340D1">
        <w:t>incorporés</w:t>
      </w:r>
      <w:r w:rsidRPr="000B6220" w:rsidR="002802E8">
        <w:t xml:space="preserve"> et de 551 000 conscrits p</w:t>
      </w:r>
      <w:r w:rsidRPr="000B6220" w:rsidR="0073424B">
        <w:t>otentiels, tandis que 41 t</w:t>
      </w:r>
      <w:r w:rsidRPr="000B6220" w:rsidR="002802E8">
        <w:t xml:space="preserve">émoins de Jéhovah </w:t>
      </w:r>
      <w:r w:rsidR="00471E7F">
        <w:t xml:space="preserve">seulement </w:t>
      </w:r>
      <w:r w:rsidRPr="000B6220" w:rsidR="008340D1">
        <w:t>auraient été</w:t>
      </w:r>
      <w:r w:rsidRPr="000B6220" w:rsidR="002802E8">
        <w:t xml:space="preserve"> en prison. De plus, depuis 2002, seuls trois individus </w:t>
      </w:r>
      <w:r w:rsidRPr="000B6220" w:rsidR="00FE610D">
        <w:t>a</w:t>
      </w:r>
      <w:r w:rsidR="009239A2">
        <w:t>dhér</w:t>
      </w:r>
      <w:r w:rsidRPr="000B6220" w:rsidR="00FE610D">
        <w:t>ant à d</w:t>
      </w:r>
      <w:r w:rsidR="002257E9">
        <w:t>’</w:t>
      </w:r>
      <w:r w:rsidRPr="000B6220" w:rsidR="00FE610D">
        <w:t>autres religions aur</w:t>
      </w:r>
      <w:r w:rsidRPr="000B6220" w:rsidR="002802E8">
        <w:t xml:space="preserve">aient décidé de devenir objecteurs de conscience. Des </w:t>
      </w:r>
      <w:r w:rsidRPr="000B6220" w:rsidR="008340D1">
        <w:t>effectifs</w:t>
      </w:r>
      <w:r w:rsidRPr="000B6220" w:rsidR="002802E8">
        <w:t xml:space="preserve"> aussi </w:t>
      </w:r>
      <w:r w:rsidRPr="000B6220" w:rsidR="008340D1">
        <w:t>négligeables</w:t>
      </w:r>
      <w:r w:rsidRPr="000B6220" w:rsidR="002802E8">
        <w:t xml:space="preserve"> ne risquaient pas</w:t>
      </w:r>
      <w:r w:rsidR="009239A2">
        <w:t>,</w:t>
      </w:r>
      <w:r w:rsidRPr="000B6220" w:rsidR="002802E8">
        <w:t xml:space="preserve"> </w:t>
      </w:r>
      <w:r w:rsidRPr="000B6220" w:rsidR="00FE610D">
        <w:t>selon lui</w:t>
      </w:r>
      <w:r w:rsidR="009239A2">
        <w:t>,</w:t>
      </w:r>
      <w:r w:rsidRPr="000B6220" w:rsidR="00FE610D">
        <w:t xml:space="preserve"> </w:t>
      </w:r>
      <w:r w:rsidRPr="000B6220" w:rsidR="002802E8">
        <w:t>d</w:t>
      </w:r>
      <w:r w:rsidR="002257E9">
        <w:t>’</w:t>
      </w:r>
      <w:r w:rsidRPr="000B6220" w:rsidR="002802E8">
        <w:t>avoir un impact négatif sur la capacité militaire de l</w:t>
      </w:r>
      <w:r w:rsidR="002257E9">
        <w:t>’</w:t>
      </w:r>
      <w:r w:rsidRPr="000B6220" w:rsidR="002802E8">
        <w:t>Arménie.</w:t>
      </w:r>
    </w:p>
    <w:p w:rsidRPr="000B6220" w:rsidR="006C5B9E" w:rsidP="00E05F30" w:rsidRDefault="006C5B9E">
      <w:pPr>
        <w:pStyle w:val="JuH1"/>
        <w:outlineLvl w:val="0"/>
      </w:pPr>
      <w:r w:rsidRPr="000B6220">
        <w:t>2.  </w:t>
      </w:r>
      <w:r w:rsidRPr="000B6220" w:rsidR="00E71F66">
        <w:t>Le Gouvernement</w:t>
      </w:r>
    </w:p>
    <w:p w:rsidRPr="000B6220" w:rsidR="00E71F66" w:rsidP="00E05F30" w:rsidRDefault="00E71F66">
      <w:pPr>
        <w:pStyle w:val="JuHa0"/>
      </w:pPr>
      <w:r w:rsidRPr="000B6220">
        <w:t>a)  Applicabilité de l</w:t>
      </w:r>
      <w:r w:rsidR="002257E9">
        <w:t>’</w:t>
      </w:r>
      <w:r w:rsidRPr="000B6220">
        <w:t>article 9</w:t>
      </w:r>
    </w:p>
    <w:p w:rsidRPr="000B6220" w:rsidR="00E71F66" w:rsidP="00E05F30" w:rsidRDefault="00E71F66">
      <w:pPr>
        <w:pStyle w:val="JuPara"/>
      </w:pPr>
      <w:r w:rsidRPr="000B6220">
        <w:fldChar w:fldCharType="begin"/>
      </w:r>
      <w:r w:rsidRPr="000B6220">
        <w:instrText xml:space="preserve"> SEQ level0 \*arabic </w:instrText>
      </w:r>
      <w:r w:rsidRPr="000B6220">
        <w:fldChar w:fldCharType="separate"/>
      </w:r>
      <w:r w:rsidR="00226498">
        <w:rPr>
          <w:noProof/>
        </w:rPr>
        <w:t>78</w:t>
      </w:r>
      <w:r w:rsidRPr="000B6220">
        <w:fldChar w:fldCharType="end"/>
      </w:r>
      <w:r w:rsidRPr="000B6220">
        <w:t>.  Le Gouvernement</w:t>
      </w:r>
      <w:r w:rsidRPr="000B6220" w:rsidR="00FE610D">
        <w:t xml:space="preserve"> déclare que les droits garantis par la Convention et la Constitution arménienne, dont le droit à la liberté de pensée, de conscience et de religion, doivent s</w:t>
      </w:r>
      <w:r w:rsidR="002257E9">
        <w:t>’</w:t>
      </w:r>
      <w:r w:rsidRPr="000B6220" w:rsidR="00FE610D">
        <w:t xml:space="preserve">appliquer à toute personne de manière égale et sans discrimination. </w:t>
      </w:r>
      <w:r w:rsidR="00471E7F">
        <w:t>C</w:t>
      </w:r>
      <w:r w:rsidRPr="000B6220" w:rsidR="00FE610D">
        <w:t xml:space="preserve">itoyen arménien, </w:t>
      </w:r>
      <w:r w:rsidR="00471E7F">
        <w:t>le requérant</w:t>
      </w:r>
      <w:r w:rsidRPr="000B6220" w:rsidR="00471E7F">
        <w:t xml:space="preserve"> </w:t>
      </w:r>
      <w:r w:rsidRPr="000B6220" w:rsidR="00FE610D">
        <w:t>serait donc tenu de par la Constitution d</w:t>
      </w:r>
      <w:r w:rsidR="002257E9">
        <w:t>’</w:t>
      </w:r>
      <w:r w:rsidRPr="000B6220" w:rsidR="00FE610D">
        <w:t xml:space="preserve">effectuer son service militaire obligatoire quelles que soient ses convictions religieuses, et </w:t>
      </w:r>
      <w:r w:rsidR="002259BC">
        <w:t>l</w:t>
      </w:r>
      <w:r w:rsidR="002257E9">
        <w:t>’</w:t>
      </w:r>
      <w:r w:rsidR="002259BC">
        <w:t>assujettissement à</w:t>
      </w:r>
      <w:r w:rsidRPr="000B6220" w:rsidR="00FE610D">
        <w:t xml:space="preserve"> cette obligation ne </w:t>
      </w:r>
      <w:r w:rsidR="002259BC">
        <w:t>pour</w:t>
      </w:r>
      <w:r w:rsidRPr="000B6220" w:rsidR="00FE610D">
        <w:t xml:space="preserve">rait passer pour une atteinte à ses droits. </w:t>
      </w:r>
      <w:r w:rsidRPr="000B6220" w:rsidR="00C81D08">
        <w:t>La loi ne prévoirait pas d</w:t>
      </w:r>
      <w:r w:rsidR="002257E9">
        <w:t>’</w:t>
      </w:r>
      <w:r w:rsidRPr="000B6220" w:rsidR="00C81D08">
        <w:t>exempt</w:t>
      </w:r>
      <w:r w:rsidRPr="000B6220" w:rsidR="008340D1">
        <w:t>er les t</w:t>
      </w:r>
      <w:r w:rsidRPr="000B6220" w:rsidR="00C81D08">
        <w:t>émoins de Jéhovah</w:t>
      </w:r>
      <w:r w:rsidRPr="002259BC" w:rsidR="002259BC">
        <w:t xml:space="preserve"> </w:t>
      </w:r>
      <w:r w:rsidRPr="000B6220" w:rsidR="002259BC">
        <w:t>du service militaire</w:t>
      </w:r>
      <w:r w:rsidRPr="000B6220" w:rsidR="00C81D08">
        <w:t>. A</w:t>
      </w:r>
      <w:r w:rsidR="002259BC">
        <w:t>us</w:t>
      </w:r>
      <w:r w:rsidRPr="000B6220" w:rsidR="00C81D08">
        <w:t>si aurait</w:t>
      </w:r>
      <w:r w:rsidR="002259BC">
        <w:t>-il</w:t>
      </w:r>
      <w:r w:rsidRPr="000B6220" w:rsidR="00C81D08">
        <w:t xml:space="preserve"> été contraire au principe d</w:t>
      </w:r>
      <w:r w:rsidR="002257E9">
        <w:t>’</w:t>
      </w:r>
      <w:r w:rsidRPr="000B6220" w:rsidR="00C81D08">
        <w:t>égalité et de non-discrimination d</w:t>
      </w:r>
      <w:r w:rsidR="002257E9">
        <w:t>’</w:t>
      </w:r>
      <w:r w:rsidRPr="000B6220" w:rsidR="00C81D08">
        <w:t>accorder une exemption du service militaire obligatoire pour un motif non prévu par la loi.</w:t>
      </w:r>
    </w:p>
    <w:p w:rsidRPr="000B6220" w:rsidR="008C53A9" w:rsidP="00E05F30" w:rsidRDefault="00C81D08">
      <w:pPr>
        <w:pStyle w:val="JuPara"/>
      </w:pPr>
      <w:r w:rsidRPr="000B6220">
        <w:fldChar w:fldCharType="begin"/>
      </w:r>
      <w:r w:rsidRPr="000B6220">
        <w:instrText xml:space="preserve"> SEQ level0 \*arabic </w:instrText>
      </w:r>
      <w:r w:rsidRPr="000B6220">
        <w:fldChar w:fldCharType="separate"/>
      </w:r>
      <w:r w:rsidR="00226498">
        <w:rPr>
          <w:noProof/>
        </w:rPr>
        <w:t>79</w:t>
      </w:r>
      <w:r w:rsidRPr="000B6220">
        <w:fldChar w:fldCharType="end"/>
      </w:r>
      <w:r w:rsidRPr="000B6220">
        <w:t xml:space="preserve">.  Le Gouvernement admet que la Convention est un « instrument vivant ». </w:t>
      </w:r>
      <w:r w:rsidRPr="000B6220" w:rsidR="00000DC5">
        <w:t>Toutefois, la question de savoir si l</w:t>
      </w:r>
      <w:r w:rsidR="002257E9">
        <w:t>’</w:t>
      </w:r>
      <w:r w:rsidRPr="000B6220" w:rsidR="00000DC5">
        <w:t>article 9 de la Convention est applicable en l</w:t>
      </w:r>
      <w:r w:rsidR="002257E9">
        <w:t>’</w:t>
      </w:r>
      <w:r w:rsidRPr="000B6220" w:rsidR="00000DC5">
        <w:t xml:space="preserve">espèce </w:t>
      </w:r>
      <w:r w:rsidR="002259BC">
        <w:t>appelle,</w:t>
      </w:r>
      <w:r w:rsidRPr="000B6220" w:rsidR="00000DC5">
        <w:t xml:space="preserve"> </w:t>
      </w:r>
      <w:r w:rsidR="002259BC">
        <w:t>d</w:t>
      </w:r>
      <w:r w:rsidR="002257E9">
        <w:t>’</w:t>
      </w:r>
      <w:r w:rsidR="002259BC">
        <w:t>après</w:t>
      </w:r>
      <w:r w:rsidRPr="000B6220" w:rsidR="00000DC5">
        <w:t xml:space="preserve"> lui</w:t>
      </w:r>
      <w:r w:rsidR="002259BC">
        <w:t>,</w:t>
      </w:r>
      <w:r w:rsidRPr="000B6220" w:rsidR="00000DC5">
        <w:t xml:space="preserve"> </w:t>
      </w:r>
      <w:r w:rsidR="002259BC">
        <w:t>un examen à la lumière</w:t>
      </w:r>
      <w:r w:rsidRPr="000B6220" w:rsidR="00000DC5">
        <w:t xml:space="preserve"> de l</w:t>
      </w:r>
      <w:r w:rsidR="002257E9">
        <w:t>’</w:t>
      </w:r>
      <w:r w:rsidRPr="000B6220" w:rsidR="00000DC5">
        <w:t xml:space="preserve">interprétation de la Convention qui prévalait au moment des faits. </w:t>
      </w:r>
      <w:r w:rsidRPr="000B6220" w:rsidR="008C53A9">
        <w:t>La condamnation du requérant dans les années 2001-2002 aurait été conforme à l</w:t>
      </w:r>
      <w:r w:rsidR="002257E9">
        <w:t>’</w:t>
      </w:r>
      <w:r w:rsidRPr="000B6220" w:rsidR="008C53A9">
        <w:t>approche suivie à l</w:t>
      </w:r>
      <w:r w:rsidR="002257E9">
        <w:t>’</w:t>
      </w:r>
      <w:r w:rsidRPr="000B6220" w:rsidR="008C53A9">
        <w:t xml:space="preserve">époque par la communauté internationale et aurait été régulière et justifiée au </w:t>
      </w:r>
      <w:r w:rsidR="00B20799">
        <w:t>regard</w:t>
      </w:r>
      <w:r w:rsidRPr="000B6220" w:rsidR="008C53A9">
        <w:t xml:space="preserve"> de la Convention telle qu</w:t>
      </w:r>
      <w:r w:rsidR="002257E9">
        <w:t>’</w:t>
      </w:r>
      <w:r w:rsidRPr="000B6220" w:rsidR="008C53A9">
        <w:t xml:space="preserve">interprétée par la Commission et la Cour. En particulier, la Commission aurait </w:t>
      </w:r>
      <w:r w:rsidRPr="000B6220" w:rsidR="008340D1">
        <w:t>dit</w:t>
      </w:r>
      <w:r w:rsidRPr="000B6220" w:rsidR="008C53A9">
        <w:t xml:space="preserve"> dans les affaires </w:t>
      </w:r>
      <w:r w:rsidRPr="000B6220" w:rsidR="008C53A9">
        <w:rPr>
          <w:i/>
        </w:rPr>
        <w:t>Peters c. Pays-Bas</w:t>
      </w:r>
      <w:r w:rsidRPr="000B6220" w:rsidR="008C53A9">
        <w:t xml:space="preserve"> (n</w:t>
      </w:r>
      <w:r w:rsidRPr="00E40C8E" w:rsidR="00E40C8E">
        <w:rPr>
          <w:vertAlign w:val="superscript"/>
        </w:rPr>
        <w:t>o</w:t>
      </w:r>
      <w:r w:rsidRPr="000B6220" w:rsidR="008C53A9">
        <w:t xml:space="preserve"> 22793/93, décision de la Commission du 30 novembre 19</w:t>
      </w:r>
      <w:r w:rsidR="00DA4036">
        <w:t>9</w:t>
      </w:r>
      <w:r w:rsidRPr="000B6220" w:rsidR="008C53A9">
        <w:t xml:space="preserve">4, non publiée) et </w:t>
      </w:r>
      <w:r w:rsidRPr="000B6220" w:rsidR="008C53A9">
        <w:rPr>
          <w:i/>
        </w:rPr>
        <w:t>Heudens c.</w:t>
      </w:r>
      <w:r w:rsidR="00C27424">
        <w:rPr>
          <w:i/>
        </w:rPr>
        <w:t xml:space="preserve"> </w:t>
      </w:r>
      <w:r w:rsidRPr="000B6220" w:rsidR="008C53A9">
        <w:rPr>
          <w:i/>
        </w:rPr>
        <w:t>Belgique</w:t>
      </w:r>
      <w:r w:rsidRPr="000B6220" w:rsidR="008C53A9">
        <w:t xml:space="preserve"> (n</w:t>
      </w:r>
      <w:r w:rsidRPr="00E40C8E" w:rsidR="00E40C8E">
        <w:rPr>
          <w:vertAlign w:val="superscript"/>
        </w:rPr>
        <w:t>o</w:t>
      </w:r>
      <w:r w:rsidR="00C27424">
        <w:t xml:space="preserve"> </w:t>
      </w:r>
      <w:r w:rsidRPr="000B6220" w:rsidR="008C53A9">
        <w:t xml:space="preserve">24630/94, décision de la Commission du 22 mai 1995, non publiée), </w:t>
      </w:r>
      <w:r w:rsidR="00B20799">
        <w:t>qui sont les dernières dans lesquelles elle se soit prononcée sur la question</w:t>
      </w:r>
      <w:r w:rsidRPr="000B6220" w:rsidR="008C53A9">
        <w:t>, que le droit à la liberté de pensée, de conscience et de religion garanti par l</w:t>
      </w:r>
      <w:r w:rsidR="002257E9">
        <w:t>’</w:t>
      </w:r>
      <w:r w:rsidRPr="000B6220" w:rsidR="008C53A9">
        <w:t>article 9 ne concernait pas l</w:t>
      </w:r>
      <w:r w:rsidR="002257E9">
        <w:t>’</w:t>
      </w:r>
      <w:r w:rsidRPr="000B6220" w:rsidR="008C53A9">
        <w:t xml:space="preserve">exemption du service militaire obligatoire pour des motifs religieux ou politiques. </w:t>
      </w:r>
      <w:r w:rsidR="00F02C1D">
        <w:t>D</w:t>
      </w:r>
      <w:r w:rsidRPr="000B6220" w:rsidR="00F02C1D">
        <w:t>ans ses derniers arrêts en date,</w:t>
      </w:r>
      <w:r w:rsidR="00F02C1D">
        <w:t xml:space="preserve"> l</w:t>
      </w:r>
      <w:r w:rsidRPr="000B6220" w:rsidR="008C53A9">
        <w:t>a Cour n</w:t>
      </w:r>
      <w:r w:rsidR="002257E9">
        <w:t>’</w:t>
      </w:r>
      <w:r w:rsidRPr="000B6220" w:rsidR="008C53A9">
        <w:t>aurait même pas reconnu que l</w:t>
      </w:r>
      <w:r w:rsidR="002257E9">
        <w:t>’</w:t>
      </w:r>
      <w:r w:rsidRPr="000B6220" w:rsidR="008C53A9">
        <w:t>article 9 était applicable</w:t>
      </w:r>
      <w:r w:rsidR="00F02C1D">
        <w:t>, jugeant inutile</w:t>
      </w:r>
      <w:r w:rsidRPr="000B6220" w:rsidR="008C53A9">
        <w:t xml:space="preserve"> de se pencher sur la question </w:t>
      </w:r>
      <w:r w:rsidRPr="000B6220" w:rsidR="008340D1">
        <w:t>de l</w:t>
      </w:r>
      <w:r w:rsidR="002257E9">
        <w:t>’</w:t>
      </w:r>
      <w:r w:rsidRPr="000B6220" w:rsidR="008340D1">
        <w:t xml:space="preserve">applicabilité </w:t>
      </w:r>
      <w:r w:rsidRPr="000B6220" w:rsidR="008C53A9">
        <w:t xml:space="preserve">(voir, par exemple, </w:t>
      </w:r>
      <w:r w:rsidRPr="000B6220" w:rsidR="008C53A9">
        <w:rPr>
          <w:i/>
        </w:rPr>
        <w:t>Thlimmenos c. Grèce</w:t>
      </w:r>
      <w:r w:rsidRPr="000B6220" w:rsidR="008C53A9">
        <w:t xml:space="preserve"> [GC], n</w:t>
      </w:r>
      <w:r w:rsidRPr="000B6220" w:rsidR="008C53A9">
        <w:rPr>
          <w:vertAlign w:val="superscript"/>
        </w:rPr>
        <w:t>o</w:t>
      </w:r>
      <w:r w:rsidRPr="000B6220" w:rsidR="008C53A9">
        <w:t> 34369/97, § 43, CEDH 2000</w:t>
      </w:r>
      <w:r w:rsidRPr="000B6220" w:rsidR="008C53A9">
        <w:noBreakHyphen/>
        <w:t xml:space="preserve">IV, et </w:t>
      </w:r>
      <w:r w:rsidR="00C27424">
        <w:rPr>
          <w:i/>
        </w:rPr>
        <w:t xml:space="preserve">Ülke c. </w:t>
      </w:r>
      <w:r w:rsidRPr="000B6220" w:rsidR="008C53A9">
        <w:rPr>
          <w:i/>
        </w:rPr>
        <w:t>Turquie</w:t>
      </w:r>
      <w:r w:rsidRPr="001A00FF" w:rsidR="008C53A9">
        <w:t xml:space="preserve">, </w:t>
      </w:r>
      <w:r w:rsidRPr="000B6220" w:rsidR="008C53A9">
        <w:t>n</w:t>
      </w:r>
      <w:r w:rsidRPr="000B6220" w:rsidR="008C53A9">
        <w:rPr>
          <w:vertAlign w:val="superscript"/>
        </w:rPr>
        <w:t>o</w:t>
      </w:r>
      <w:r w:rsidRPr="000B6220" w:rsidR="00CE72D1">
        <w:t> </w:t>
      </w:r>
      <w:r w:rsidRPr="000B6220" w:rsidR="008C53A9">
        <w:t xml:space="preserve">39437/98, §§ 53-54, 24 janvier 2006). </w:t>
      </w:r>
      <w:r w:rsidRPr="000B6220" w:rsidR="00CE72D1">
        <w:t xml:space="preserve">Les autorités arméniennes auraient donc agi de manière conforme aux exigences de la Convention. Eu égard à la jurisprudence établie </w:t>
      </w:r>
      <w:r w:rsidRPr="000B6220" w:rsidR="008340D1">
        <w:t>en la matière</w:t>
      </w:r>
      <w:r w:rsidRPr="000B6220" w:rsidR="00CE72D1">
        <w:t>, elles n</w:t>
      </w:r>
      <w:r w:rsidR="002257E9">
        <w:t>’</w:t>
      </w:r>
      <w:r w:rsidRPr="000B6220" w:rsidR="00CE72D1">
        <w:t>auraient pas pu prévoir la possibilité que la Cour procède à une nouvelle interprétation de l</w:t>
      </w:r>
      <w:r w:rsidR="002257E9">
        <w:t>’</w:t>
      </w:r>
      <w:r w:rsidRPr="000B6220" w:rsidR="00CE72D1">
        <w:t>article 9 et n</w:t>
      </w:r>
      <w:r w:rsidR="002257E9">
        <w:t>’</w:t>
      </w:r>
      <w:r w:rsidRPr="000B6220" w:rsidR="00CE72D1">
        <w:t>auraient donc pas pu mettre leurs actions en accord avec une éventuelle « nouvelle approche » à cet égard.</w:t>
      </w:r>
    </w:p>
    <w:p w:rsidRPr="000B6220" w:rsidR="00CE72D1" w:rsidP="00E05F30" w:rsidRDefault="00CE72D1">
      <w:pPr>
        <w:pStyle w:val="JuPara"/>
      </w:pPr>
      <w:r w:rsidRPr="000B6220">
        <w:fldChar w:fldCharType="begin"/>
      </w:r>
      <w:r w:rsidRPr="000B6220">
        <w:instrText xml:space="preserve"> SEQ level0 \*arabic </w:instrText>
      </w:r>
      <w:r w:rsidRPr="000B6220">
        <w:fldChar w:fldCharType="separate"/>
      </w:r>
      <w:r w:rsidR="00226498">
        <w:rPr>
          <w:noProof/>
        </w:rPr>
        <w:t>80</w:t>
      </w:r>
      <w:r w:rsidRPr="000B6220">
        <w:fldChar w:fldCharType="end"/>
      </w:r>
      <w:r w:rsidRPr="000B6220">
        <w:t xml:space="preserve">.  Le Gouvernement </w:t>
      </w:r>
      <w:r w:rsidR="00C12604">
        <w:t>admet</w:t>
      </w:r>
      <w:r w:rsidRPr="000B6220">
        <w:t xml:space="preserve"> que la majorité des Etats membres du Conseil de l</w:t>
      </w:r>
      <w:r w:rsidR="002257E9">
        <w:t>’</w:t>
      </w:r>
      <w:r w:rsidRPr="000B6220">
        <w:t xml:space="preserve">Europe ont adopté des lois </w:t>
      </w:r>
      <w:r w:rsidR="00C12604">
        <w:t>instituant</w:t>
      </w:r>
      <w:r w:rsidRPr="000B6220">
        <w:t xml:space="preserve"> diverses formes de service de remplacement pour les objecteurs de conscience. Toutefois, on ne </w:t>
      </w:r>
      <w:r w:rsidR="00C12604">
        <w:t>pour</w:t>
      </w:r>
      <w:r w:rsidRPr="000B6220">
        <w:t>rait passer outre les dispositions de l</w:t>
      </w:r>
      <w:r w:rsidR="002257E9">
        <w:t>’</w:t>
      </w:r>
      <w:r w:rsidRPr="000B6220">
        <w:t xml:space="preserve">article 4 § 3 b), qui laisseraient clairement </w:t>
      </w:r>
      <w:r w:rsidRPr="000B6220" w:rsidR="008340D1">
        <w:t xml:space="preserve">à </w:t>
      </w:r>
      <w:r w:rsidRPr="000B6220">
        <w:t xml:space="preserve">chaque Partie contractante </w:t>
      </w:r>
      <w:r w:rsidRPr="000B6220" w:rsidR="008340D1">
        <w:t>le choix</w:t>
      </w:r>
      <w:r w:rsidRPr="000B6220">
        <w:t xml:space="preserve"> de reconnaître ou non l</w:t>
      </w:r>
      <w:r w:rsidR="002257E9">
        <w:t>’</w:t>
      </w:r>
      <w:r w:rsidRPr="000B6220" w:rsidR="008340D1">
        <w:t>objection de conscience</w:t>
      </w:r>
      <w:r w:rsidR="00C12604">
        <w:t>. P</w:t>
      </w:r>
      <w:r w:rsidRPr="000B6220">
        <w:t xml:space="preserve">artant, </w:t>
      </w:r>
      <w:r w:rsidR="00002678">
        <w:t xml:space="preserve">on ne </w:t>
      </w:r>
      <w:r w:rsidR="00D410EC">
        <w:t>pourrait</w:t>
      </w:r>
      <w:r w:rsidR="00002678">
        <w:t xml:space="preserve"> invoquer </w:t>
      </w:r>
      <w:r w:rsidR="00C12604">
        <w:t>la circonstance</w:t>
      </w:r>
      <w:r w:rsidRPr="000B6220">
        <w:t xml:space="preserve"> que la majorité des Etats membres </w:t>
      </w:r>
      <w:r w:rsidRPr="00C95A33">
        <w:t>ai</w:t>
      </w:r>
      <w:r w:rsidRPr="00C95A33" w:rsidR="00C12604">
        <w:t>en</w:t>
      </w:r>
      <w:r w:rsidRPr="00C95A33">
        <w:t>t r</w:t>
      </w:r>
      <w:r w:rsidRPr="000B6220">
        <w:t>econnu ce d</w:t>
      </w:r>
      <w:r w:rsidR="00C12604">
        <w:t>r</w:t>
      </w:r>
      <w:r w:rsidRPr="000B6220">
        <w:t>oit pour dire qu</w:t>
      </w:r>
      <w:r w:rsidR="002257E9">
        <w:t>’</w:t>
      </w:r>
      <w:r w:rsidRPr="000B6220">
        <w:t>une Partie contractante qui ne l</w:t>
      </w:r>
      <w:r w:rsidR="002257E9">
        <w:t>’</w:t>
      </w:r>
      <w:r w:rsidRPr="000B6220">
        <w:t>a pas fait méconnaît ses obligations tirées de la Convention. En bref, l</w:t>
      </w:r>
      <w:r w:rsidR="002257E9">
        <w:t>’</w:t>
      </w:r>
      <w:r w:rsidRPr="000B6220">
        <w:t>article 9 interprété à la lumière de l</w:t>
      </w:r>
      <w:r w:rsidR="002257E9">
        <w:t>’</w:t>
      </w:r>
      <w:r w:rsidRPr="000B6220">
        <w:t>article 4 § 3 b) ne garantirait pas le droit de refuser d</w:t>
      </w:r>
      <w:r w:rsidR="002257E9">
        <w:t>’</w:t>
      </w:r>
      <w:r w:rsidRPr="000B6220">
        <w:t>accomplir le service militaire pour des motifs de conscience, et il n</w:t>
      </w:r>
      <w:r w:rsidR="002257E9">
        <w:t>’</w:t>
      </w:r>
      <w:r w:rsidRPr="000B6220">
        <w:t xml:space="preserve">y aurait donc eu nulle </w:t>
      </w:r>
      <w:r w:rsidRPr="000B6220" w:rsidR="00464A9A">
        <w:t>ingérence dans l</w:t>
      </w:r>
      <w:r w:rsidR="002257E9">
        <w:t>’</w:t>
      </w:r>
      <w:r w:rsidRPr="000B6220" w:rsidR="00464A9A">
        <w:t xml:space="preserve">exercice par le requérant des droits reconnus </w:t>
      </w:r>
      <w:r w:rsidRPr="000B6220">
        <w:t>par l</w:t>
      </w:r>
      <w:r w:rsidR="002257E9">
        <w:t>’</w:t>
      </w:r>
      <w:r w:rsidRPr="000B6220">
        <w:t>article 9.</w:t>
      </w:r>
    </w:p>
    <w:p w:rsidRPr="000B6220" w:rsidR="00122912" w:rsidP="00E05F30" w:rsidRDefault="00CE72D1">
      <w:pPr>
        <w:pStyle w:val="JuPara"/>
      </w:pPr>
      <w:r w:rsidRPr="000B6220">
        <w:fldChar w:fldCharType="begin"/>
      </w:r>
      <w:r w:rsidRPr="000B6220">
        <w:instrText xml:space="preserve"> SEQ level0 \*arabic </w:instrText>
      </w:r>
      <w:r w:rsidRPr="000B6220">
        <w:fldChar w:fldCharType="separate"/>
      </w:r>
      <w:r w:rsidR="00226498">
        <w:rPr>
          <w:noProof/>
        </w:rPr>
        <w:t>81</w:t>
      </w:r>
      <w:r w:rsidRPr="000B6220">
        <w:fldChar w:fldCharType="end"/>
      </w:r>
      <w:r w:rsidRPr="000B6220">
        <w:t>.  </w:t>
      </w:r>
      <w:r w:rsidRPr="000B6220" w:rsidR="00122912">
        <w:t xml:space="preserve">Le Gouvernement </w:t>
      </w:r>
      <w:r w:rsidRPr="000B6220" w:rsidR="008340D1">
        <w:t>avance</w:t>
      </w:r>
      <w:r w:rsidRPr="000B6220" w:rsidR="00122912">
        <w:t xml:space="preserve"> en outre qu</w:t>
      </w:r>
      <w:r w:rsidR="002257E9">
        <w:t>’</w:t>
      </w:r>
      <w:r w:rsidRPr="000B6220" w:rsidR="00122912">
        <w:t xml:space="preserve">il existe actuellement en Arménie une soixantaine </w:t>
      </w:r>
      <w:r w:rsidRPr="000B6220" w:rsidR="004B5AD4">
        <w:t>d</w:t>
      </w:r>
      <w:r w:rsidR="002257E9">
        <w:t>’</w:t>
      </w:r>
      <w:r w:rsidRPr="000B6220" w:rsidR="00122912">
        <w:t>organisations religieuses enregistrées, dont les témoins de Jéhovah, neuf branches d</w:t>
      </w:r>
      <w:r w:rsidR="002257E9">
        <w:t>’</w:t>
      </w:r>
      <w:r w:rsidRPr="000B6220" w:rsidR="00122912">
        <w:t xml:space="preserve">organisations religieuses et une agence. </w:t>
      </w:r>
      <w:r w:rsidR="00865B6A">
        <w:t>Il arguë</w:t>
      </w:r>
      <w:r w:rsidR="00B20799">
        <w:t xml:space="preserve"> que si</w:t>
      </w:r>
      <w:r w:rsidRPr="000B6220" w:rsidR="00122912">
        <w:t xml:space="preserve"> chacune d</w:t>
      </w:r>
      <w:r w:rsidR="002257E9">
        <w:t>’</w:t>
      </w:r>
      <w:r w:rsidRPr="000B6220" w:rsidR="00122912">
        <w:t>elles devait déclarer le service militaire contraire à ses convictions religieuses, alors non seulement les témoins de Jéhovah mais aussi les membres d</w:t>
      </w:r>
      <w:r w:rsidR="002257E9">
        <w:t>’</w:t>
      </w:r>
      <w:r w:rsidRPr="000B6220" w:rsidR="00122912">
        <w:t xml:space="preserve">autres organisations religieuses seraient en mesure de refuser de remplir leur obligation de défendre la patrie. De plus, les membres des témoins de Jéhovah ou de toute autre organisation religieuse pourraient de la même manière </w:t>
      </w:r>
      <w:r w:rsidR="00002678">
        <w:t>déclarer</w:t>
      </w:r>
      <w:r w:rsidRPr="000B6220" w:rsidR="00122912">
        <w:t>, par exemple, que le paiement d</w:t>
      </w:r>
      <w:r w:rsidR="002257E9">
        <w:t>’</w:t>
      </w:r>
      <w:r w:rsidRPr="000B6220" w:rsidR="00122912">
        <w:t xml:space="preserve">impôts et </w:t>
      </w:r>
      <w:r w:rsidR="00865B6A">
        <w:t xml:space="preserve">de </w:t>
      </w:r>
      <w:r w:rsidRPr="000B6220" w:rsidR="00122912">
        <w:t>taxes est contraire à leurs convictions religieuses, auquel cas l</w:t>
      </w:r>
      <w:r w:rsidR="002257E9">
        <w:t>’</w:t>
      </w:r>
      <w:r w:rsidRPr="000B6220" w:rsidR="00122912">
        <w:t xml:space="preserve">Etat serait obligé de ne pas les condamner car une telle condamnation pourrait être jugée </w:t>
      </w:r>
      <w:r w:rsidR="00002678">
        <w:t>emporter violation de</w:t>
      </w:r>
      <w:r w:rsidRPr="000B6220" w:rsidR="00122912">
        <w:t xml:space="preserve"> l</w:t>
      </w:r>
      <w:r w:rsidR="002257E9">
        <w:t>’</w:t>
      </w:r>
      <w:r w:rsidRPr="000B6220" w:rsidR="00122912">
        <w:t>article 9. Pareille approche ne serait pas acceptable</w:t>
      </w:r>
      <w:r w:rsidR="00002678">
        <w:t>,</w:t>
      </w:r>
      <w:r w:rsidRPr="000B6220" w:rsidR="00122912">
        <w:t xml:space="preserve"> </w:t>
      </w:r>
      <w:r w:rsidR="00002678">
        <w:t>considérant</w:t>
      </w:r>
      <w:r w:rsidRPr="000B6220" w:rsidR="00122912">
        <w:t xml:space="preserve"> qu</w:t>
      </w:r>
      <w:r w:rsidR="002257E9">
        <w:t>’</w:t>
      </w:r>
      <w:r w:rsidRPr="000B6220" w:rsidR="00122912">
        <w:t>une personne pourrait s</w:t>
      </w:r>
      <w:r w:rsidR="002257E9">
        <w:t>’</w:t>
      </w:r>
      <w:r w:rsidRPr="000B6220" w:rsidR="00122912">
        <w:t>affilier à telle ou telle organisation religieuse afin de se soustraire à ses obligations envers l</w:t>
      </w:r>
      <w:r w:rsidR="002257E9">
        <w:t>’</w:t>
      </w:r>
      <w:r w:rsidRPr="000B6220" w:rsidR="00122912">
        <w:t>Etat.</w:t>
      </w:r>
    </w:p>
    <w:p w:rsidRPr="000B6220" w:rsidR="00CE72D1" w:rsidP="00E05F30" w:rsidRDefault="00122912">
      <w:pPr>
        <w:pStyle w:val="JuPara"/>
      </w:pPr>
      <w:r w:rsidRPr="000B6220">
        <w:fldChar w:fldCharType="begin"/>
      </w:r>
      <w:r w:rsidRPr="000B6220">
        <w:instrText xml:space="preserve"> SEQ level0 \*arabic </w:instrText>
      </w:r>
      <w:r w:rsidRPr="000B6220">
        <w:fldChar w:fldCharType="separate"/>
      </w:r>
      <w:r w:rsidR="00226498">
        <w:rPr>
          <w:noProof/>
        </w:rPr>
        <w:t>82</w:t>
      </w:r>
      <w:r w:rsidRPr="000B6220">
        <w:fldChar w:fldCharType="end"/>
      </w:r>
      <w:r w:rsidRPr="000B6220">
        <w:t>.  Enfin, pour ce qui est des engagements pris par l</w:t>
      </w:r>
      <w:r w:rsidR="002257E9">
        <w:t>’</w:t>
      </w:r>
      <w:r w:rsidRPr="000B6220">
        <w:t>Arménie lors de son adhésion au Conseil de l</w:t>
      </w:r>
      <w:r w:rsidR="002257E9">
        <w:t>’</w:t>
      </w:r>
      <w:r w:rsidRPr="000B6220">
        <w:t>Europe, le Gouvernement indique qu</w:t>
      </w:r>
      <w:r w:rsidR="002257E9">
        <w:t>’</w:t>
      </w:r>
      <w:r w:rsidRPr="000B6220">
        <w:t xml:space="preserve">une loi sur le service de remplacement a été adoptée le 17 décembre 2003. </w:t>
      </w:r>
      <w:r w:rsidRPr="000B6220" w:rsidR="004B5AD4">
        <w:t>Les</w:t>
      </w:r>
      <w:r w:rsidRPr="000B6220">
        <w:t xml:space="preserve"> autorités auraient </w:t>
      </w:r>
      <w:r w:rsidRPr="000B6220" w:rsidR="004B5AD4">
        <w:t xml:space="preserve">ainsi </w:t>
      </w:r>
      <w:r w:rsidRPr="000B6220">
        <w:t>reconnu la possibilité d</w:t>
      </w:r>
      <w:r w:rsidR="002257E9">
        <w:t>’</w:t>
      </w:r>
      <w:r w:rsidRPr="000B6220">
        <w:t xml:space="preserve">exempter des </w:t>
      </w:r>
      <w:r w:rsidR="00236E97">
        <w:t>jeunes gens</w:t>
      </w:r>
      <w:r w:rsidRPr="000B6220">
        <w:t xml:space="preserve"> du service militaire pour des motifs religieux, </w:t>
      </w:r>
      <w:r w:rsidRPr="000B6220" w:rsidR="008340D1">
        <w:t>tandis que</w:t>
      </w:r>
      <w:r w:rsidRPr="000B6220">
        <w:t xml:space="preserve"> les objecteurs de conscience bénéficieraient d</w:t>
      </w:r>
      <w:r w:rsidR="002257E9">
        <w:t>’</w:t>
      </w:r>
      <w:r w:rsidRPr="000B6220">
        <w:t xml:space="preserve">une solution de remplacement pour remplir leur obligation </w:t>
      </w:r>
      <w:r w:rsidRPr="000B6220" w:rsidR="004B5AD4">
        <w:t>c</w:t>
      </w:r>
      <w:r w:rsidRPr="000B6220">
        <w:t xml:space="preserve">onstitutionnelle. </w:t>
      </w:r>
      <w:r w:rsidR="00192E51">
        <w:t>Désormais</w:t>
      </w:r>
      <w:r w:rsidRPr="000B6220">
        <w:t xml:space="preserve">, les objecteurs de conscience seraient donc condamnés </w:t>
      </w:r>
      <w:r w:rsidR="0024273C">
        <w:t>uniquement</w:t>
      </w:r>
      <w:r w:rsidRPr="000B6220" w:rsidR="008340D1">
        <w:t xml:space="preserve"> s</w:t>
      </w:r>
      <w:r w:rsidR="002257E9">
        <w:t>’</w:t>
      </w:r>
      <w:r w:rsidRPr="000B6220" w:rsidR="008340D1">
        <w:t xml:space="preserve">ils </w:t>
      </w:r>
      <w:r w:rsidRPr="000B6220">
        <w:t>refus</w:t>
      </w:r>
      <w:r w:rsidRPr="000B6220" w:rsidR="008340D1">
        <w:t>ent</w:t>
      </w:r>
      <w:r w:rsidRPr="000B6220">
        <w:t xml:space="preserve"> </w:t>
      </w:r>
      <w:r w:rsidRPr="000B6220" w:rsidR="008340D1">
        <w:t xml:space="preserve">aussi </w:t>
      </w:r>
      <w:r w:rsidRPr="000B6220">
        <w:t>d</w:t>
      </w:r>
      <w:r w:rsidR="002257E9">
        <w:t>’</w:t>
      </w:r>
      <w:r w:rsidRPr="000B6220">
        <w:t>effectuer un service de remplacement. Quant à l</w:t>
      </w:r>
      <w:r w:rsidR="002257E9">
        <w:t>’</w:t>
      </w:r>
      <w:r w:rsidRPr="000B6220">
        <w:t>obligation d</w:t>
      </w:r>
      <w:r w:rsidR="002257E9">
        <w:t>’</w:t>
      </w:r>
      <w:r w:rsidRPr="000B6220">
        <w:t xml:space="preserve">amnistier tous les objecteurs de conscience </w:t>
      </w:r>
      <w:r w:rsidR="00F3742F">
        <w:t>frappés d</w:t>
      </w:r>
      <w:r w:rsidR="002257E9">
        <w:t>’</w:t>
      </w:r>
      <w:r w:rsidRPr="000B6220">
        <w:t>une peine d</w:t>
      </w:r>
      <w:r w:rsidR="002257E9">
        <w:t>’</w:t>
      </w:r>
      <w:r w:rsidRPr="000B6220">
        <w:t xml:space="preserve">emprisonnement, le Gouvernement insiste sur le fait que les autorités </w:t>
      </w:r>
      <w:r w:rsidRPr="000B6220" w:rsidR="004B5AD4">
        <w:t>l</w:t>
      </w:r>
      <w:r w:rsidR="002257E9">
        <w:t>’</w:t>
      </w:r>
      <w:r w:rsidRPr="000B6220" w:rsidR="004B5AD4">
        <w:t>ont</w:t>
      </w:r>
      <w:r w:rsidRPr="000B6220">
        <w:t xml:space="preserve"> respectée en </w:t>
      </w:r>
      <w:r w:rsidR="00F3742F">
        <w:t>exemptant</w:t>
      </w:r>
      <w:r w:rsidRPr="000B6220">
        <w:t xml:space="preserve"> le requérant de la peine qui lui avait été in</w:t>
      </w:r>
      <w:r w:rsidR="00311AD5">
        <w:t>fligée. En effet, celui</w:t>
      </w:r>
      <w:r w:rsidR="00311AD5">
        <w:noBreakHyphen/>
      </w:r>
      <w:r w:rsidRPr="000B6220">
        <w:t>ci aurait été libéré six mois après la décision de la Cour de cassation, alors qu</w:t>
      </w:r>
      <w:r w:rsidR="002257E9">
        <w:t>’</w:t>
      </w:r>
      <w:r w:rsidRPr="000B6220">
        <w:t>il avait été condamné à une peine de deux ans et six mois</w:t>
      </w:r>
      <w:r w:rsidRPr="00F3742F" w:rsidR="00F3742F">
        <w:t xml:space="preserve"> </w:t>
      </w:r>
      <w:r w:rsidRPr="000B6220" w:rsidR="00F3742F">
        <w:t>d</w:t>
      </w:r>
      <w:r w:rsidR="002257E9">
        <w:t>’</w:t>
      </w:r>
      <w:r w:rsidRPr="000B6220" w:rsidR="00F3742F">
        <w:t>emprisonnement</w:t>
      </w:r>
      <w:r w:rsidRPr="000B6220">
        <w:t>.</w:t>
      </w:r>
    </w:p>
    <w:p w:rsidRPr="000B6220" w:rsidR="00E71F66" w:rsidP="00E05F30" w:rsidRDefault="00E71F66">
      <w:pPr>
        <w:pStyle w:val="JuHa0"/>
      </w:pPr>
      <w:r w:rsidRPr="000B6220">
        <w:t>b)  Observation de l</w:t>
      </w:r>
      <w:r w:rsidR="002257E9">
        <w:t>’</w:t>
      </w:r>
      <w:r w:rsidRPr="000B6220">
        <w:t>article 9</w:t>
      </w:r>
    </w:p>
    <w:p w:rsidRPr="000B6220" w:rsidR="00E71F66" w:rsidP="00E05F30" w:rsidRDefault="004B5AD4">
      <w:pPr>
        <w:pStyle w:val="JuPara"/>
      </w:pPr>
      <w:r w:rsidRPr="000B6220">
        <w:fldChar w:fldCharType="begin"/>
      </w:r>
      <w:r w:rsidRPr="000B6220">
        <w:instrText xml:space="preserve"> SEQ level0 \*arabic </w:instrText>
      </w:r>
      <w:r w:rsidRPr="000B6220">
        <w:fldChar w:fldCharType="separate"/>
      </w:r>
      <w:r w:rsidR="00226498">
        <w:rPr>
          <w:noProof/>
        </w:rPr>
        <w:t>83</w:t>
      </w:r>
      <w:r w:rsidRPr="000B6220">
        <w:fldChar w:fldCharType="end"/>
      </w:r>
      <w:r w:rsidRPr="000B6220">
        <w:t>.  </w:t>
      </w:r>
      <w:r w:rsidR="00F3742F">
        <w:t>D</w:t>
      </w:r>
      <w:r w:rsidR="002257E9">
        <w:t>’</w:t>
      </w:r>
      <w:r w:rsidR="00F3742F">
        <w:t>après l</w:t>
      </w:r>
      <w:r w:rsidRPr="000B6220" w:rsidR="00EA7F37">
        <w:t>e Gouvernement, à supposer qu</w:t>
      </w:r>
      <w:r w:rsidR="002257E9">
        <w:t>’</w:t>
      </w:r>
      <w:r w:rsidRPr="000B6220" w:rsidR="00EA7F37">
        <w:t xml:space="preserve">il y ait eu une ingérence dans </w:t>
      </w:r>
      <w:r w:rsidRPr="000B6220" w:rsidR="001A3707">
        <w:t>l</w:t>
      </w:r>
      <w:r w:rsidR="002257E9">
        <w:t>’</w:t>
      </w:r>
      <w:r w:rsidRPr="000B6220" w:rsidR="001A3707">
        <w:t>exercice par le requérant d</w:t>
      </w:r>
      <w:r w:rsidRPr="000B6220" w:rsidR="00EA7F37">
        <w:t>es droits garantis par l</w:t>
      </w:r>
      <w:r w:rsidR="002257E9">
        <w:t>’</w:t>
      </w:r>
      <w:r w:rsidRPr="000B6220" w:rsidR="00EA7F37">
        <w:t xml:space="preserve">article 9, celle-ci </w:t>
      </w:r>
      <w:r w:rsidRPr="003B01B3" w:rsidR="00EA7F37">
        <w:t xml:space="preserve">était justifiée. </w:t>
      </w:r>
      <w:r w:rsidRPr="003B01B3" w:rsidR="00795EFC">
        <w:t>P</w:t>
      </w:r>
      <w:r w:rsidRPr="003B01B3" w:rsidR="00EA7F37">
        <w:t xml:space="preserve">remièrement, </w:t>
      </w:r>
      <w:r w:rsidRPr="003B01B3" w:rsidR="00795EFC">
        <w:t xml:space="preserve">en effet, </w:t>
      </w:r>
      <w:r w:rsidRPr="003B01B3" w:rsidR="00EA7F37">
        <w:t>cette ingérence aurait été prévue par</w:t>
      </w:r>
      <w:r w:rsidRPr="000B6220" w:rsidR="00EA7F37">
        <w:t xml:space="preserve"> la loi : l</w:t>
      </w:r>
      <w:r w:rsidR="002257E9">
        <w:t>’</w:t>
      </w:r>
      <w:r w:rsidRPr="000B6220" w:rsidR="00EA7F37">
        <w:t xml:space="preserve">obligation pour tout citoyen arménien âgé de </w:t>
      </w:r>
      <w:r w:rsidR="00F3742F">
        <w:t>dix-huit</w:t>
      </w:r>
      <w:r w:rsidRPr="000B6220" w:rsidR="00EA7F37">
        <w:t xml:space="preserve"> à </w:t>
      </w:r>
      <w:r w:rsidR="00F3742F">
        <w:t>vingt-sept</w:t>
      </w:r>
      <w:r w:rsidRPr="000B6220" w:rsidR="00EA7F37">
        <w:t xml:space="preserve"> ans et physiquement apte de servir dans l</w:t>
      </w:r>
      <w:r w:rsidR="002257E9">
        <w:t>’</w:t>
      </w:r>
      <w:r w:rsidRPr="000B6220" w:rsidR="008340D1">
        <w:t>armée arménienne</w:t>
      </w:r>
      <w:r w:rsidR="00F37452">
        <w:t>,</w:t>
      </w:r>
      <w:r w:rsidRPr="000B6220" w:rsidR="00EA7F37">
        <w:t xml:space="preserve"> quelles que soi</w:t>
      </w:r>
      <w:r w:rsidRPr="000B6220" w:rsidR="008340D1">
        <w:t>ent ses convictions religieuses</w:t>
      </w:r>
      <w:r w:rsidR="00F37452">
        <w:t>,</w:t>
      </w:r>
      <w:r w:rsidRPr="000B6220" w:rsidR="00EA7F37">
        <w:t xml:space="preserve"> </w:t>
      </w:r>
      <w:r w:rsidRPr="000B6220" w:rsidR="0085318C">
        <w:t xml:space="preserve">aurait </w:t>
      </w:r>
      <w:r w:rsidRPr="000B6220" w:rsidR="00EA7F37">
        <w:t>figur</w:t>
      </w:r>
      <w:r w:rsidRPr="000B6220" w:rsidR="0085318C">
        <w:t>é</w:t>
      </w:r>
      <w:r w:rsidRPr="000B6220" w:rsidR="00EA7F37">
        <w:t xml:space="preserve"> à l</w:t>
      </w:r>
      <w:r w:rsidR="002257E9">
        <w:t>’</w:t>
      </w:r>
      <w:r w:rsidRPr="000B6220" w:rsidR="00EA7F37">
        <w:t>article 47 de la Constitution et dans les articles 3 et 11 de la loi sur les obligations militaires. De plus, l</w:t>
      </w:r>
      <w:r w:rsidR="002257E9">
        <w:t>’</w:t>
      </w:r>
      <w:r w:rsidRPr="000B6220" w:rsidR="00EA7F37">
        <w:t xml:space="preserve">article 75 du code pénal aurait prescrit une sanction en cas de soustraction aux obligations militaires. Ces dispositions juridiques auraient été à la fois accessibles et suffisamment précises. En outre, </w:t>
      </w:r>
      <w:r w:rsidRPr="000B6220" w:rsidR="0085318C">
        <w:t>à l</w:t>
      </w:r>
      <w:r w:rsidR="002257E9">
        <w:t>’</w:t>
      </w:r>
      <w:r w:rsidRPr="000B6220" w:rsidR="0085318C">
        <w:t xml:space="preserve">époque des faits, </w:t>
      </w:r>
      <w:r w:rsidRPr="000B6220" w:rsidR="00EA7F37">
        <w:t>le droit à l</w:t>
      </w:r>
      <w:r w:rsidR="002257E9">
        <w:t>’</w:t>
      </w:r>
      <w:r w:rsidRPr="000B6220" w:rsidR="00EA7F37">
        <w:t>objection de conscience n</w:t>
      </w:r>
      <w:r w:rsidR="002257E9">
        <w:t>’</w:t>
      </w:r>
      <w:r w:rsidRPr="000B6220" w:rsidR="00EA7F37">
        <w:t>aurait pas été reconnu par la législation arménienne.</w:t>
      </w:r>
    </w:p>
    <w:p w:rsidRPr="000B6220" w:rsidR="00EA7F37" w:rsidP="00E05F30" w:rsidRDefault="00EA7F37">
      <w:pPr>
        <w:pStyle w:val="JuPara"/>
      </w:pPr>
      <w:r w:rsidRPr="000B6220">
        <w:fldChar w:fldCharType="begin"/>
      </w:r>
      <w:r w:rsidRPr="000B6220">
        <w:instrText xml:space="preserve"> SEQ level0 \*arabic </w:instrText>
      </w:r>
      <w:r w:rsidRPr="000B6220">
        <w:fldChar w:fldCharType="separate"/>
      </w:r>
      <w:r w:rsidR="00226498">
        <w:rPr>
          <w:noProof/>
        </w:rPr>
        <w:t>84</w:t>
      </w:r>
      <w:r w:rsidRPr="000B6220">
        <w:fldChar w:fldCharType="end"/>
      </w:r>
      <w:r w:rsidRPr="000B6220">
        <w:t xml:space="preserve">.  Deuxièmement, </w:t>
      </w:r>
      <w:r w:rsidRPr="000B6220" w:rsidR="0085318C">
        <w:t>l</w:t>
      </w:r>
      <w:r w:rsidR="002257E9">
        <w:t>’</w:t>
      </w:r>
      <w:r w:rsidRPr="000B6220">
        <w:t xml:space="preserve">ingérence aurait été nécessaire dans une société démocratique. </w:t>
      </w:r>
      <w:r w:rsidRPr="000B6220" w:rsidR="007565C7">
        <w:t>L</w:t>
      </w:r>
      <w:r w:rsidR="002257E9">
        <w:t>’</w:t>
      </w:r>
      <w:r w:rsidRPr="000B6220" w:rsidR="007565C7">
        <w:t>un des principes fondamentaux de toute soci</w:t>
      </w:r>
      <w:r w:rsidRPr="000B6220" w:rsidR="0085318C">
        <w:t>été démocratique serait que tous les</w:t>
      </w:r>
      <w:r w:rsidRPr="000B6220" w:rsidR="007565C7">
        <w:t xml:space="preserve"> citoyen</w:t>
      </w:r>
      <w:r w:rsidRPr="000B6220" w:rsidR="0085318C">
        <w:t>s</w:t>
      </w:r>
      <w:r w:rsidRPr="000B6220" w:rsidR="007565C7">
        <w:t>, sans discrimination d</w:t>
      </w:r>
      <w:r w:rsidR="002257E9">
        <w:t>’</w:t>
      </w:r>
      <w:r w:rsidRPr="000B6220" w:rsidR="007565C7">
        <w:t xml:space="preserve">aucune sorte, </w:t>
      </w:r>
      <w:r w:rsidRPr="000B6220" w:rsidR="0085318C">
        <w:t>bénéficient</w:t>
      </w:r>
      <w:r w:rsidRPr="000B6220" w:rsidR="007565C7">
        <w:t xml:space="preserve"> de tous les droits et libertés contenus dans la Constitution et les lois et </w:t>
      </w:r>
      <w:r w:rsidR="00F37452">
        <w:t>soient assujettis aux</w:t>
      </w:r>
      <w:r w:rsidRPr="000B6220" w:rsidR="007565C7">
        <w:t xml:space="preserve"> obligations figur</w:t>
      </w:r>
      <w:r w:rsidRPr="000B6220" w:rsidR="0085318C">
        <w:t>a</w:t>
      </w:r>
      <w:r w:rsidRPr="000B6220" w:rsidR="007565C7">
        <w:t>nt</w:t>
      </w:r>
      <w:r w:rsidRPr="000B6220" w:rsidR="0085318C">
        <w:t xml:space="preserve"> dans ces textes</w:t>
      </w:r>
      <w:r w:rsidRPr="000B6220" w:rsidR="007565C7">
        <w:t xml:space="preserve">. Dès lors, </w:t>
      </w:r>
      <w:r w:rsidRPr="000B6220" w:rsidR="001A3707">
        <w:t xml:space="preserve">pour le Gouvernement, </w:t>
      </w:r>
      <w:r w:rsidRPr="000B6220" w:rsidR="007565C7">
        <w:t>si les autorités autorisaient la soixantaine d</w:t>
      </w:r>
      <w:r w:rsidR="002257E9">
        <w:t>’</w:t>
      </w:r>
      <w:r w:rsidRPr="000B6220" w:rsidR="007565C7">
        <w:t xml:space="preserve">organisations religieuses évoquées ci-dessus à interpréter et </w:t>
      </w:r>
      <w:r w:rsidR="00865B6A">
        <w:t xml:space="preserve">à </w:t>
      </w:r>
      <w:r w:rsidRPr="000B6220" w:rsidR="007565C7">
        <w:t>appliquer la loi en vigueur à l</w:t>
      </w:r>
      <w:r w:rsidR="002257E9">
        <w:t>’</w:t>
      </w:r>
      <w:r w:rsidRPr="000B6220" w:rsidR="007565C7">
        <w:t>époque en fonction de leurs convictions religieuses r</w:t>
      </w:r>
      <w:r w:rsidRPr="000B6220" w:rsidR="00282908">
        <w:t xml:space="preserve">espectives, cela </w:t>
      </w:r>
      <w:r w:rsidR="00F37452">
        <w:t>emporterait</w:t>
      </w:r>
      <w:r w:rsidRPr="000B6220" w:rsidR="00282908">
        <w:t xml:space="preserve"> im</w:t>
      </w:r>
      <w:r w:rsidRPr="000B6220" w:rsidR="007565C7">
        <w:t>manquablement de très graves conséquences pour l</w:t>
      </w:r>
      <w:r w:rsidR="002257E9">
        <w:t>’</w:t>
      </w:r>
      <w:r w:rsidRPr="000B6220" w:rsidR="007565C7">
        <w:t xml:space="preserve">ordre public. </w:t>
      </w:r>
      <w:r w:rsidRPr="000B6220" w:rsidR="003F3A7B">
        <w:t xml:space="preserve">Dans </w:t>
      </w:r>
      <w:r w:rsidR="00F37452">
        <w:t>ces conditions</w:t>
      </w:r>
      <w:r w:rsidRPr="000B6220" w:rsidR="003F3A7B">
        <w:t xml:space="preserve">, la </w:t>
      </w:r>
      <w:r w:rsidR="00F37452">
        <w:t xml:space="preserve">principale </w:t>
      </w:r>
      <w:r w:rsidRPr="000B6220" w:rsidR="003F3A7B">
        <w:t>tâche des autorités serait de veiller à une égale application de la loi à tous les citoyens arméniens indépendamment</w:t>
      </w:r>
      <w:r w:rsidR="007E2467">
        <w:t xml:space="preserve"> de leur religion, ce qui ne pour</w:t>
      </w:r>
      <w:r w:rsidRPr="000B6220" w:rsidR="003F3A7B">
        <w:t>rait être assimilé à une ingérence contraire à la Convention.</w:t>
      </w:r>
    </w:p>
    <w:p w:rsidRPr="000B6220" w:rsidR="00E71F66" w:rsidP="00E05F30" w:rsidRDefault="00E71F66">
      <w:pPr>
        <w:pStyle w:val="JuH1"/>
        <w:outlineLvl w:val="0"/>
      </w:pPr>
      <w:r w:rsidRPr="000B6220">
        <w:t>3.  Les tiers intervenants</w:t>
      </w:r>
    </w:p>
    <w:p w:rsidRPr="000B6220" w:rsidR="00E71F66" w:rsidP="001209BC" w:rsidRDefault="00E71F66">
      <w:pPr>
        <w:pStyle w:val="JuHa0"/>
        <w:tabs>
          <w:tab w:val="clear" w:pos="975"/>
        </w:tabs>
        <w:ind w:left="993" w:hanging="358"/>
      </w:pPr>
      <w:r w:rsidRPr="000B6220">
        <w:t xml:space="preserve">a)  Observations </w:t>
      </w:r>
      <w:r w:rsidRPr="000B6220" w:rsidR="004862B5">
        <w:t xml:space="preserve">soumises </w:t>
      </w:r>
      <w:r w:rsidRPr="000B6220" w:rsidR="0085318C">
        <w:t xml:space="preserve">conjointement </w:t>
      </w:r>
      <w:r w:rsidRPr="000B6220" w:rsidR="004862B5">
        <w:t>par</w:t>
      </w:r>
      <w:r w:rsidRPr="000B6220">
        <w:t xml:space="preserve"> </w:t>
      </w:r>
      <w:r w:rsidRPr="000B6220" w:rsidR="004862B5">
        <w:t xml:space="preserve">Amnesty International, Conscience and Peace Tax International, Friends World Committee for Consultation (Quakers), </w:t>
      </w:r>
      <w:r w:rsidRPr="000B6220" w:rsidR="00CE4C34">
        <w:t>la Commission internationale de</w:t>
      </w:r>
      <w:r w:rsidRPr="000B6220" w:rsidR="004862B5">
        <w:t xml:space="preserve"> juristes et </w:t>
      </w:r>
      <w:r w:rsidRPr="000B6220" w:rsidR="00CE4C34">
        <w:t>l</w:t>
      </w:r>
      <w:r w:rsidR="002257E9">
        <w:t>’</w:t>
      </w:r>
      <w:r w:rsidRPr="000B6220" w:rsidR="00CE4C34">
        <w:t>Internationale des résistants à la guerre (War Resisters</w:t>
      </w:r>
      <w:r w:rsidR="002257E9">
        <w:t>’</w:t>
      </w:r>
      <w:r w:rsidRPr="000B6220" w:rsidR="00CE4C34">
        <w:t xml:space="preserve"> International)</w:t>
      </w:r>
    </w:p>
    <w:p w:rsidRPr="000B6220" w:rsidR="006C5B9E"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85</w:t>
      </w:r>
      <w:r w:rsidRPr="000B6220">
        <w:fldChar w:fldCharType="end"/>
      </w:r>
      <w:r w:rsidRPr="000B6220" w:rsidR="006C5B9E">
        <w:t>.  </w:t>
      </w:r>
      <w:r w:rsidRPr="000B6220" w:rsidR="00CE4C34">
        <w:t xml:space="preserve">Les organisations intervenantes fournissent un </w:t>
      </w:r>
      <w:r w:rsidRPr="000B6220" w:rsidR="000F0EA3">
        <w:t>tableau général</w:t>
      </w:r>
      <w:r w:rsidRPr="000B6220" w:rsidR="00CE4C34">
        <w:t xml:space="preserve"> du mouvement progressif de reconnaissance du droit à l</w:t>
      </w:r>
      <w:r w:rsidR="002257E9">
        <w:t>’</w:t>
      </w:r>
      <w:r w:rsidRPr="000B6220" w:rsidR="00CE4C34">
        <w:t xml:space="preserve">objection de conscience aux niveaux international et régional. </w:t>
      </w:r>
      <w:r w:rsidRPr="000B6220" w:rsidR="000F0EA3">
        <w:t>Sur le plan international, elles se concentrent en particulier sur l</w:t>
      </w:r>
      <w:r w:rsidR="002257E9">
        <w:t>’</w:t>
      </w:r>
      <w:r w:rsidRPr="000B6220" w:rsidR="000F0EA3">
        <w:t>évolution de la jurisprudence du Comité des droits de l</w:t>
      </w:r>
      <w:r w:rsidR="002257E9">
        <w:t>’</w:t>
      </w:r>
      <w:r w:rsidRPr="000B6220" w:rsidR="000F0EA3">
        <w:t>homme des Nations unies et sur son interprétation des dispositions du PIDCP correspondant à celles de la Convention, notamment dans son observation générale n</w:t>
      </w:r>
      <w:r w:rsidRPr="00E40C8E" w:rsidR="00E40C8E">
        <w:rPr>
          <w:vertAlign w:val="superscript"/>
        </w:rPr>
        <w:t>o</w:t>
      </w:r>
      <w:r w:rsidRPr="000B6220" w:rsidR="000F0EA3">
        <w:t xml:space="preserve"> 22 et dans les affaires </w:t>
      </w:r>
      <w:r w:rsidRPr="001209BC" w:rsidR="007E2467">
        <w:t>Yeo</w:t>
      </w:r>
      <w:r w:rsidRPr="001209BC" w:rsidR="007E2467">
        <w:noBreakHyphen/>
      </w:r>
      <w:r w:rsidRPr="001209BC" w:rsidR="000F0EA3">
        <w:t>Bum Yoon</w:t>
      </w:r>
      <w:r w:rsidRPr="000B6220" w:rsidR="000F0EA3">
        <w:rPr>
          <w:i/>
        </w:rPr>
        <w:t xml:space="preserve"> </w:t>
      </w:r>
      <w:r w:rsidRPr="000B6220" w:rsidR="000F0EA3">
        <w:t xml:space="preserve">et </w:t>
      </w:r>
      <w:r w:rsidRPr="001209BC" w:rsidR="000F0EA3">
        <w:t>Myung-Jin Choi</w:t>
      </w:r>
      <w:r w:rsidRPr="000B6220" w:rsidR="000F0EA3">
        <w:rPr>
          <w:i/>
        </w:rPr>
        <w:t xml:space="preserve"> </w:t>
      </w:r>
      <w:r w:rsidRPr="000B6220" w:rsidR="000F0EA3">
        <w:t xml:space="preserve">(paragraphes 62-64 ci-dessus). </w:t>
      </w:r>
      <w:r w:rsidRPr="000B6220" w:rsidR="00256513">
        <w:t>Elles évoquent égalemen</w:t>
      </w:r>
      <w:r w:rsidRPr="000B6220" w:rsidR="0085318C">
        <w:t>t l</w:t>
      </w:r>
      <w:r w:rsidR="002257E9">
        <w:t>’</w:t>
      </w:r>
      <w:r w:rsidRPr="000B6220" w:rsidR="00AA34E3">
        <w:t xml:space="preserve">évolution </w:t>
      </w:r>
      <w:r w:rsidRPr="000B6220" w:rsidR="0085318C">
        <w:t>suivie</w:t>
      </w:r>
      <w:r w:rsidRPr="000B6220" w:rsidR="00AA34E3">
        <w:t xml:space="preserve"> par d</w:t>
      </w:r>
      <w:r w:rsidR="002257E9">
        <w:t>’</w:t>
      </w:r>
      <w:r w:rsidRPr="000B6220" w:rsidR="00AA34E3">
        <w:t>autres organes des Nations unies comme la Commission des droits de l</w:t>
      </w:r>
      <w:r w:rsidR="002257E9">
        <w:t>’</w:t>
      </w:r>
      <w:r w:rsidRPr="000B6220" w:rsidR="00AA34E3">
        <w:t>homme et le Groupe de travail sur la détention arbitraire (paragraphes 58 et 65 ci-dessus).</w:t>
      </w:r>
    </w:p>
    <w:p w:rsidRPr="000B6220" w:rsidR="00AA34E3" w:rsidP="00E05F30" w:rsidRDefault="00AA34E3">
      <w:pPr>
        <w:pStyle w:val="JuPara"/>
      </w:pPr>
      <w:r w:rsidRPr="000B6220">
        <w:fldChar w:fldCharType="begin"/>
      </w:r>
      <w:r w:rsidRPr="000B6220">
        <w:instrText xml:space="preserve"> SEQ level0 \*arabic </w:instrText>
      </w:r>
      <w:r w:rsidRPr="000B6220">
        <w:fldChar w:fldCharType="separate"/>
      </w:r>
      <w:r w:rsidR="00226498">
        <w:rPr>
          <w:noProof/>
        </w:rPr>
        <w:t>86</w:t>
      </w:r>
      <w:r w:rsidRPr="000B6220">
        <w:fldChar w:fldCharType="end"/>
      </w:r>
      <w:r w:rsidRPr="000B6220">
        <w:t>.  </w:t>
      </w:r>
      <w:r w:rsidRPr="000B6220" w:rsidR="00256513">
        <w:t>Sur le plan régional, ces organisations mentionnent en particulier l</w:t>
      </w:r>
      <w:r w:rsidR="002257E9">
        <w:t>’</w:t>
      </w:r>
      <w:r w:rsidRPr="000B6220" w:rsidR="00256513">
        <w:t xml:space="preserve">évolution </w:t>
      </w:r>
      <w:r w:rsidR="007E2467">
        <w:t xml:space="preserve">opérée au sein des institutions </w:t>
      </w:r>
      <w:r w:rsidRPr="000B6220" w:rsidR="00256513">
        <w:t>du Conseil de l</w:t>
      </w:r>
      <w:r w:rsidR="002257E9">
        <w:t>’</w:t>
      </w:r>
      <w:r w:rsidRPr="000B6220" w:rsidR="00256513">
        <w:t xml:space="preserve">Europe, notamment </w:t>
      </w:r>
      <w:r w:rsidR="007E2467">
        <w:t>les</w:t>
      </w:r>
      <w:r w:rsidRPr="000B6220" w:rsidR="00256513">
        <w:t xml:space="preserve"> recommandations appelant à reconnaître et </w:t>
      </w:r>
      <w:r w:rsidR="001209BC">
        <w:t xml:space="preserve">à </w:t>
      </w:r>
      <w:r w:rsidRPr="000B6220" w:rsidR="00256513">
        <w:t>mieux protéger le droit à l</w:t>
      </w:r>
      <w:r w:rsidR="002257E9">
        <w:t>’</w:t>
      </w:r>
      <w:r w:rsidRPr="000B6220" w:rsidR="00256513">
        <w:t xml:space="preserve">objection de conscience (paragraphes 51-55 ci-dessus). Elles </w:t>
      </w:r>
      <w:r w:rsidRPr="000B6220" w:rsidR="0085318C">
        <w:t>indiquent</w:t>
      </w:r>
      <w:r w:rsidRPr="000B6220" w:rsidR="00256513">
        <w:t xml:space="preserve"> aussi que le droit à l</w:t>
      </w:r>
      <w:r w:rsidR="002257E9">
        <w:t>’</w:t>
      </w:r>
      <w:r w:rsidRPr="000B6220" w:rsidR="00256513">
        <w:t xml:space="preserve">objection de conscience </w:t>
      </w:r>
      <w:r w:rsidRPr="000B6220" w:rsidR="00083451">
        <w:t>est désormais</w:t>
      </w:r>
      <w:r w:rsidRPr="000B6220" w:rsidR="00C60C69">
        <w:t xml:space="preserve"> explicitement reconnu par l</w:t>
      </w:r>
      <w:r w:rsidR="002257E9">
        <w:t>’</w:t>
      </w:r>
      <w:r w:rsidRPr="000B6220" w:rsidR="00C60C69">
        <w:t>article 10 de la Charte des droits fondamentaux de l</w:t>
      </w:r>
      <w:r w:rsidR="002257E9">
        <w:t>’</w:t>
      </w:r>
      <w:r w:rsidRPr="000B6220" w:rsidR="00C60C69">
        <w:t>Union européenne et par l</w:t>
      </w:r>
      <w:r w:rsidR="002257E9">
        <w:t>’</w:t>
      </w:r>
      <w:r w:rsidRPr="000B6220" w:rsidR="00C60C69">
        <w:t>article 12 de la Convention ibéro-américaine sur les droits des jeunes (paragraphes 57 et 69 ci-dessus)</w:t>
      </w:r>
      <w:r w:rsidRPr="000B6220" w:rsidR="0085318C">
        <w:t xml:space="preserve"> et, e</w:t>
      </w:r>
      <w:r w:rsidRPr="000B6220" w:rsidR="00C60C69">
        <w:t xml:space="preserve">nfin, </w:t>
      </w:r>
      <w:r w:rsidRPr="000B6220" w:rsidR="0085318C">
        <w:t>que</w:t>
      </w:r>
      <w:r w:rsidRPr="000B6220" w:rsidR="00C60C69">
        <w:t xml:space="preserve"> la Commission interaméricaine des droits de l</w:t>
      </w:r>
      <w:r w:rsidR="002257E9">
        <w:t>’</w:t>
      </w:r>
      <w:r w:rsidRPr="000B6220" w:rsidR="00C60C69">
        <w:t xml:space="preserve">homme </w:t>
      </w:r>
      <w:r w:rsidRPr="000B6220" w:rsidR="00FC21A1">
        <w:t xml:space="preserve">a approuvé </w:t>
      </w:r>
      <w:r w:rsidRPr="000B6220" w:rsidR="0085318C">
        <w:t xml:space="preserve">en 2005 </w:t>
      </w:r>
      <w:r w:rsidRPr="000B6220" w:rsidR="00FC21A1">
        <w:t>un règlement amiable conclu entre un requérant et l</w:t>
      </w:r>
      <w:r w:rsidR="002257E9">
        <w:t>’</w:t>
      </w:r>
      <w:r w:rsidRPr="000B6220" w:rsidR="00FC21A1">
        <w:t>Etat bolivien et a</w:t>
      </w:r>
      <w:r w:rsidR="00554534">
        <w:t>,</w:t>
      </w:r>
      <w:r w:rsidRPr="000B6220" w:rsidR="00FC21A1">
        <w:t xml:space="preserve"> </w:t>
      </w:r>
      <w:r w:rsidRPr="000B6220" w:rsidR="0085318C">
        <w:t>à cette occasion</w:t>
      </w:r>
      <w:r w:rsidR="00554534">
        <w:t>,</w:t>
      </w:r>
      <w:r w:rsidRPr="000B6220" w:rsidR="0085318C">
        <w:t xml:space="preserve"> </w:t>
      </w:r>
      <w:r w:rsidRPr="000B6220" w:rsidR="00FC21A1">
        <w:t>reconnu le caractère évolutif du droit à l</w:t>
      </w:r>
      <w:r w:rsidR="002257E9">
        <w:t>’</w:t>
      </w:r>
      <w:r w:rsidRPr="000B6220" w:rsidR="00FC21A1">
        <w:t>objection de conscience, s</w:t>
      </w:r>
      <w:r w:rsidR="002257E9">
        <w:t>’</w:t>
      </w:r>
      <w:r w:rsidRPr="000B6220" w:rsidR="00FC21A1">
        <w:t xml:space="preserve">appuyant à cet égard </w:t>
      </w:r>
      <w:r w:rsidRPr="000B6220" w:rsidR="00083451">
        <w:t>explicitement sur l</w:t>
      </w:r>
      <w:r w:rsidR="002257E9">
        <w:t>’</w:t>
      </w:r>
      <w:r w:rsidRPr="000B6220" w:rsidR="00083451">
        <w:t>observation générale n</w:t>
      </w:r>
      <w:r w:rsidRPr="00E40C8E" w:rsidR="00E40C8E">
        <w:rPr>
          <w:vertAlign w:val="superscript"/>
        </w:rPr>
        <w:t>o</w:t>
      </w:r>
      <w:r w:rsidRPr="000B6220" w:rsidR="00083451">
        <w:t xml:space="preserve"> 22 du C</w:t>
      </w:r>
      <w:r w:rsidRPr="000B6220" w:rsidR="00FC21A1">
        <w:t>omité des droits de l</w:t>
      </w:r>
      <w:r w:rsidR="002257E9">
        <w:t>’</w:t>
      </w:r>
      <w:r w:rsidRPr="000B6220" w:rsidR="00FC21A1">
        <w:t>homme (paragraphe 68 ci-dessus).</w:t>
      </w:r>
    </w:p>
    <w:p w:rsidRPr="000B6220" w:rsidR="00FC21A1" w:rsidP="00E05F30" w:rsidRDefault="00FC21A1">
      <w:pPr>
        <w:pStyle w:val="JuPara"/>
      </w:pPr>
      <w:r w:rsidRPr="000B6220">
        <w:fldChar w:fldCharType="begin"/>
      </w:r>
      <w:r w:rsidRPr="000B6220">
        <w:instrText xml:space="preserve"> SEQ level0 \*arabic </w:instrText>
      </w:r>
      <w:r w:rsidRPr="000B6220">
        <w:fldChar w:fldCharType="separate"/>
      </w:r>
      <w:r w:rsidR="00226498">
        <w:rPr>
          <w:noProof/>
        </w:rPr>
        <w:t>87</w:t>
      </w:r>
      <w:r w:rsidRPr="000B6220">
        <w:fldChar w:fldCharType="end"/>
      </w:r>
      <w:r w:rsidRPr="000B6220">
        <w:t>.  </w:t>
      </w:r>
      <w:r w:rsidRPr="000B6220" w:rsidR="00083451">
        <w:t>Les organisations intervenantes indiquent par ailleurs que l</w:t>
      </w:r>
      <w:r w:rsidR="002257E9">
        <w:t>’</w:t>
      </w:r>
      <w:r w:rsidR="00D24327">
        <w:t>article 9 </w:t>
      </w:r>
      <w:r w:rsidRPr="000B6220" w:rsidR="001A3707">
        <w:t>§ </w:t>
      </w:r>
      <w:r w:rsidRPr="000B6220" w:rsidR="00083451">
        <w:t>2 de la Convention n</w:t>
      </w:r>
      <w:r w:rsidR="002257E9">
        <w:t>’</w:t>
      </w:r>
      <w:r w:rsidRPr="000B6220" w:rsidR="00083451">
        <w:t xml:space="preserve">autorise pas </w:t>
      </w:r>
      <w:r w:rsidRPr="000B6220" w:rsidR="001A3707">
        <w:t>à restreindre</w:t>
      </w:r>
      <w:r w:rsidRPr="000B6220" w:rsidR="00083451">
        <w:t xml:space="preserve"> la liberté de toute personne de manifester sa religion ou ses convictions </w:t>
      </w:r>
      <w:r w:rsidRPr="000B6220" w:rsidR="001A3707">
        <w:t>pour des motifs de</w:t>
      </w:r>
      <w:r w:rsidRPr="000B6220" w:rsidR="0085318C">
        <w:t xml:space="preserve"> </w:t>
      </w:r>
      <w:r w:rsidRPr="000B6220" w:rsidR="00083451">
        <w:t xml:space="preserve">sécurité nationale. Elles soulignent que, dans les affaires </w:t>
      </w:r>
      <w:r w:rsidRPr="001209BC" w:rsidR="00083451">
        <w:t>Yeo-Bum Yoon</w:t>
      </w:r>
      <w:r w:rsidRPr="000B6220" w:rsidR="00083451">
        <w:rPr>
          <w:i/>
        </w:rPr>
        <w:t xml:space="preserve"> </w:t>
      </w:r>
      <w:r w:rsidRPr="000B6220" w:rsidR="00083451">
        <w:t xml:space="preserve">et </w:t>
      </w:r>
      <w:r w:rsidRPr="001209BC" w:rsidR="00083451">
        <w:t>Myung-Jin Choi</w:t>
      </w:r>
      <w:r w:rsidR="00792A01">
        <w:t xml:space="preserve"> (paragraphes 63-64 ci-dessus)</w:t>
      </w:r>
      <w:r w:rsidRPr="000B6220" w:rsidR="00083451">
        <w:t>, le Comité des droits de l</w:t>
      </w:r>
      <w:r w:rsidR="002257E9">
        <w:t>’</w:t>
      </w:r>
      <w:r w:rsidRPr="000B6220" w:rsidR="00083451">
        <w:t>homme, après avoir constaté l</w:t>
      </w:r>
      <w:r w:rsidR="002257E9">
        <w:t>’</w:t>
      </w:r>
      <w:r w:rsidRPr="000B6220" w:rsidR="00083451">
        <w:t>existence d</w:t>
      </w:r>
      <w:r w:rsidR="002257E9">
        <w:t>’</w:t>
      </w:r>
      <w:r w:rsidRPr="000B6220" w:rsidR="00083451">
        <w:t xml:space="preserve">une ingérence dans </w:t>
      </w:r>
      <w:r w:rsidRPr="000B6220" w:rsidR="001A3707">
        <w:t>l</w:t>
      </w:r>
      <w:r w:rsidR="002257E9">
        <w:t>’</w:t>
      </w:r>
      <w:r w:rsidRPr="000B6220" w:rsidR="001A3707">
        <w:t>exercice par le requérant d</w:t>
      </w:r>
      <w:r w:rsidRPr="000B6220" w:rsidR="00083451">
        <w:t>es droits garantis par l</w:t>
      </w:r>
      <w:r w:rsidR="002257E9">
        <w:t>’</w:t>
      </w:r>
      <w:r w:rsidRPr="000B6220" w:rsidR="00083451">
        <w:t>art</w:t>
      </w:r>
      <w:r w:rsidRPr="000B6220" w:rsidR="0085318C">
        <w:t xml:space="preserve">icle 18 du PIDCP, a conclu que </w:t>
      </w:r>
      <w:r w:rsidRPr="000B6220" w:rsidR="001A3707">
        <w:t>l</w:t>
      </w:r>
      <w:r w:rsidR="002257E9">
        <w:t>’</w:t>
      </w:r>
      <w:r w:rsidRPr="000B6220" w:rsidR="00083451">
        <w:t>ingérence n</w:t>
      </w:r>
      <w:r w:rsidR="002257E9">
        <w:t>’</w:t>
      </w:r>
      <w:r w:rsidRPr="000B6220" w:rsidR="00083451">
        <w:t>était pas nécessaire et qu</w:t>
      </w:r>
      <w:r w:rsidR="002257E9">
        <w:t>’</w:t>
      </w:r>
      <w:r w:rsidRPr="000B6220" w:rsidR="00083451">
        <w:t>il y avait eu violation de cette disposition.</w:t>
      </w:r>
    </w:p>
    <w:p w:rsidRPr="000B6220" w:rsidR="00083451" w:rsidP="00E05F30" w:rsidRDefault="00083451">
      <w:pPr>
        <w:pStyle w:val="JuPara"/>
      </w:pPr>
      <w:r w:rsidRPr="000B6220">
        <w:fldChar w:fldCharType="begin"/>
      </w:r>
      <w:r w:rsidRPr="000B6220">
        <w:instrText xml:space="preserve"> SEQ level0 \*arabic </w:instrText>
      </w:r>
      <w:r w:rsidRPr="000B6220">
        <w:fldChar w:fldCharType="separate"/>
      </w:r>
      <w:r w:rsidR="00226498">
        <w:rPr>
          <w:noProof/>
        </w:rPr>
        <w:t>88</w:t>
      </w:r>
      <w:r w:rsidRPr="000B6220">
        <w:fldChar w:fldCharType="end"/>
      </w:r>
      <w:r w:rsidRPr="000B6220">
        <w:t xml:space="preserve">.  Elles </w:t>
      </w:r>
      <w:r w:rsidRPr="000B6220" w:rsidR="0085318C">
        <w:t>soutiennent</w:t>
      </w:r>
      <w:r w:rsidRPr="000B6220">
        <w:t xml:space="preserve"> que, eu égard à la reconnaissance quasi</w:t>
      </w:r>
      <w:r w:rsidRPr="000B6220" w:rsidR="0085318C">
        <w:t xml:space="preserve"> universelle au sein </w:t>
      </w:r>
      <w:r w:rsidRPr="000B6220">
        <w:t>des Etats membres du Conseil de l</w:t>
      </w:r>
      <w:r w:rsidR="002257E9">
        <w:t>’</w:t>
      </w:r>
      <w:r w:rsidRPr="000B6220">
        <w:t>Europe du droit à l</w:t>
      </w:r>
      <w:r w:rsidR="002257E9">
        <w:t>’</w:t>
      </w:r>
      <w:r w:rsidRPr="000B6220">
        <w:t>objection de conscience et aux constatations précitées du Comité des droits de l</w:t>
      </w:r>
      <w:r w:rsidR="002257E9">
        <w:t>’</w:t>
      </w:r>
      <w:r w:rsidRPr="000B6220">
        <w:t>homme, le manquement d</w:t>
      </w:r>
      <w:r w:rsidR="002257E9">
        <w:t>’</w:t>
      </w:r>
      <w:r w:rsidRPr="000B6220">
        <w:t xml:space="preserve">un Etat à </w:t>
      </w:r>
      <w:r w:rsidR="00192E51">
        <w:t>prendre des dispositions pour tenir compte de</w:t>
      </w:r>
      <w:r w:rsidRPr="000B6220">
        <w:t xml:space="preserve"> l</w:t>
      </w:r>
      <w:r w:rsidR="002257E9">
        <w:t>’</w:t>
      </w:r>
      <w:r w:rsidRPr="000B6220">
        <w:t xml:space="preserve">objection de conscience au service militaire constitue une </w:t>
      </w:r>
      <w:r w:rsidRPr="000B6220" w:rsidR="0085318C">
        <w:t>ingérence</w:t>
      </w:r>
      <w:r w:rsidRPr="000B6220">
        <w:t xml:space="preserve"> injustifiable sous l</w:t>
      </w:r>
      <w:r w:rsidR="002257E9">
        <w:t>’</w:t>
      </w:r>
      <w:r w:rsidRPr="000B6220">
        <w:t>angle de l</w:t>
      </w:r>
      <w:r w:rsidR="002257E9">
        <w:t>’</w:t>
      </w:r>
      <w:r w:rsidRPr="000B6220">
        <w:t xml:space="preserve">article 9 § 2. </w:t>
      </w:r>
      <w:r w:rsidRPr="000B6220" w:rsidR="005356B9">
        <w:t>Enfin, s</w:t>
      </w:r>
      <w:r w:rsidR="002257E9">
        <w:t>’</w:t>
      </w:r>
      <w:r w:rsidRPr="000B6220" w:rsidR="005356B9">
        <w:t xml:space="preserve">appuyant sur les opinions dissidentes jointes aux arrêts </w:t>
      </w:r>
      <w:r w:rsidRPr="000B6220" w:rsidR="005356B9">
        <w:rPr>
          <w:i/>
        </w:rPr>
        <w:t>Tsirlis et Kouloumpas c. Grèce</w:t>
      </w:r>
      <w:r w:rsidRPr="000B6220" w:rsidR="005356B9">
        <w:t xml:space="preserve"> (29 mai 1997, </w:t>
      </w:r>
      <w:r w:rsidRPr="000B6220" w:rsidR="005356B9">
        <w:rPr>
          <w:i/>
        </w:rPr>
        <w:t>Recueil des arrêts et décisions</w:t>
      </w:r>
      <w:r w:rsidRPr="000B6220" w:rsidR="005356B9">
        <w:t xml:space="preserve"> 1997</w:t>
      </w:r>
      <w:r w:rsidRPr="000B6220" w:rsidR="005356B9">
        <w:noBreakHyphen/>
        <w:t xml:space="preserve">III) et </w:t>
      </w:r>
      <w:r w:rsidRPr="000B6220" w:rsidR="005356B9">
        <w:rPr>
          <w:i/>
        </w:rPr>
        <w:t>Thlimmenos</w:t>
      </w:r>
      <w:r w:rsidRPr="000B6220" w:rsidR="005356B9">
        <w:t xml:space="preserve"> (précité), elle</w:t>
      </w:r>
      <w:r w:rsidRPr="000B6220" w:rsidR="0085318C">
        <w:t>s</w:t>
      </w:r>
      <w:r w:rsidRPr="000B6220" w:rsidR="005356B9">
        <w:t xml:space="preserve"> déclare</w:t>
      </w:r>
      <w:r w:rsidRPr="000B6220" w:rsidR="0085318C">
        <w:t>nt</w:t>
      </w:r>
      <w:r w:rsidRPr="000B6220" w:rsidR="005356B9">
        <w:t xml:space="preserve"> que même l</w:t>
      </w:r>
      <w:r w:rsidR="002257E9">
        <w:t>’</w:t>
      </w:r>
      <w:r w:rsidRPr="000B6220" w:rsidR="005356B9">
        <w:t xml:space="preserve">approche de la Commission </w:t>
      </w:r>
      <w:r w:rsidR="00856256">
        <w:t xml:space="preserve">européenne </w:t>
      </w:r>
      <w:r w:rsidRPr="000B6220" w:rsidR="005356B9">
        <w:t xml:space="preserve">sur la question </w:t>
      </w:r>
      <w:r w:rsidRPr="000B6220" w:rsidR="0085318C">
        <w:t>litigieuse</w:t>
      </w:r>
      <w:r w:rsidRPr="000B6220" w:rsidR="005356B9">
        <w:t xml:space="preserve"> a évolué au fil des ans. </w:t>
      </w:r>
      <w:r w:rsidRPr="000B6220" w:rsidR="0085318C">
        <w:t>En bref, t</w:t>
      </w:r>
      <w:r w:rsidRPr="000B6220" w:rsidR="005356B9">
        <w:t xml:space="preserve">ous les </w:t>
      </w:r>
      <w:r w:rsidRPr="000B6220" w:rsidR="0085318C">
        <w:t xml:space="preserve">éléments </w:t>
      </w:r>
      <w:r w:rsidRPr="000B6220" w:rsidR="005356B9">
        <w:t xml:space="preserve">qui précèdent </w:t>
      </w:r>
      <w:r w:rsidRPr="000B6220" w:rsidR="001A3707">
        <w:t xml:space="preserve">plaident selon elles pour la </w:t>
      </w:r>
      <w:r w:rsidRPr="000B6220" w:rsidR="005356B9">
        <w:t>protection du droit à l</w:t>
      </w:r>
      <w:r w:rsidR="002257E9">
        <w:t>’</w:t>
      </w:r>
      <w:r w:rsidRPr="000B6220" w:rsidR="005356B9">
        <w:t>objection de conscience au titre de l</w:t>
      </w:r>
      <w:r w:rsidR="002257E9">
        <w:t>’</w:t>
      </w:r>
      <w:r w:rsidRPr="000B6220" w:rsidR="005356B9">
        <w:t>article 9 de la Convention.</w:t>
      </w:r>
    </w:p>
    <w:p w:rsidRPr="000B6220" w:rsidR="00E71F66" w:rsidP="00E05F30" w:rsidRDefault="00A95D4B">
      <w:pPr>
        <w:pStyle w:val="JuHa0"/>
      </w:pPr>
      <w:r w:rsidRPr="000B6220">
        <w:t>b</w:t>
      </w:r>
      <w:r w:rsidRPr="000B6220" w:rsidR="00E71F66">
        <w:t>)  L</w:t>
      </w:r>
      <w:r w:rsidR="002257E9">
        <w:t>’</w:t>
      </w:r>
      <w:r w:rsidR="00192E51">
        <w:t>A</w:t>
      </w:r>
      <w:r w:rsidRPr="000B6220" w:rsidR="00E71F66">
        <w:t xml:space="preserve">ssociation européenne </w:t>
      </w:r>
      <w:r w:rsidRPr="000B6220" w:rsidR="00D01D9D">
        <w:t>des chrétiens témoins de Jéhovah</w:t>
      </w:r>
    </w:p>
    <w:p w:rsidRPr="000B6220" w:rsidR="00D01D9D" w:rsidP="00E05F30" w:rsidRDefault="00D01D9D">
      <w:pPr>
        <w:pStyle w:val="JuPara"/>
      </w:pPr>
      <w:r w:rsidRPr="000B6220">
        <w:fldChar w:fldCharType="begin"/>
      </w:r>
      <w:r w:rsidRPr="000B6220">
        <w:instrText xml:space="preserve"> SEQ level0 \*arabic </w:instrText>
      </w:r>
      <w:r w:rsidRPr="000B6220">
        <w:fldChar w:fldCharType="separate"/>
      </w:r>
      <w:r w:rsidR="00226498">
        <w:rPr>
          <w:noProof/>
        </w:rPr>
        <w:t>89</w:t>
      </w:r>
      <w:r w:rsidRPr="000B6220">
        <w:fldChar w:fldCharType="end"/>
      </w:r>
      <w:r w:rsidRPr="000B6220">
        <w:t>.  </w:t>
      </w:r>
      <w:r w:rsidRPr="000B6220" w:rsidR="0085318C">
        <w:t xml:space="preserve">Cette </w:t>
      </w:r>
      <w:r w:rsidRPr="000B6220" w:rsidR="00536EB9">
        <w:t xml:space="preserve">association </w:t>
      </w:r>
      <w:r w:rsidRPr="000B6220" w:rsidR="001A3707">
        <w:t>déclare</w:t>
      </w:r>
      <w:r w:rsidRPr="000B6220" w:rsidR="00536EB9">
        <w:t xml:space="preserve"> que les témoins de Jéhovah </w:t>
      </w:r>
      <w:r w:rsidRPr="000B6220" w:rsidR="0085318C">
        <w:t>constituent</w:t>
      </w:r>
      <w:r w:rsidRPr="000B6220" w:rsidR="00536EB9">
        <w:t xml:space="preserve"> une confession chrétienne connue qui </w:t>
      </w:r>
      <w:r w:rsidR="00856256">
        <w:t>se caractérise par</w:t>
      </w:r>
      <w:r w:rsidRPr="000B6220" w:rsidR="00536EB9">
        <w:t xml:space="preserve"> un </w:t>
      </w:r>
      <w:r w:rsidRPr="000B6220" w:rsidR="0085318C">
        <w:t xml:space="preserve">attachement profond à </w:t>
      </w:r>
      <w:r w:rsidRPr="000B6220" w:rsidR="00536EB9">
        <w:t>de</w:t>
      </w:r>
      <w:r w:rsidRPr="000B6220" w:rsidR="0085318C">
        <w:t>s</w:t>
      </w:r>
      <w:r w:rsidRPr="000B6220" w:rsidR="00536EB9">
        <w:t xml:space="preserve"> </w:t>
      </w:r>
      <w:r w:rsidR="00856256">
        <w:t>principes moraux rigoureux</w:t>
      </w:r>
      <w:r w:rsidRPr="000B6220" w:rsidR="00536EB9">
        <w:t xml:space="preserve"> et </w:t>
      </w:r>
      <w:r w:rsidRPr="000B6220" w:rsidR="001A3707">
        <w:t>prône</w:t>
      </w:r>
      <w:r w:rsidRPr="000B6220" w:rsidR="00536EB9">
        <w:t xml:space="preserve"> le refus de prendre les armes contre d</w:t>
      </w:r>
      <w:r w:rsidR="002257E9">
        <w:t>’</w:t>
      </w:r>
      <w:r w:rsidRPr="000B6220" w:rsidR="00536EB9">
        <w:t>autres être</w:t>
      </w:r>
      <w:r w:rsidRPr="000B6220" w:rsidR="001A3707">
        <w:t>s</w:t>
      </w:r>
      <w:r w:rsidRPr="000B6220" w:rsidR="00536EB9">
        <w:t xml:space="preserve"> humains. </w:t>
      </w:r>
      <w:r w:rsidRPr="000B6220" w:rsidR="001A3707">
        <w:t>Elle ajoute que l</w:t>
      </w:r>
      <w:r w:rsidRPr="000B6220" w:rsidR="00536EB9">
        <w:t>es témoins de Jéhovah acceptent normalement d</w:t>
      </w:r>
      <w:r w:rsidR="002257E9">
        <w:t>’</w:t>
      </w:r>
      <w:r w:rsidRPr="000B6220" w:rsidR="00BD4240">
        <w:t>effectuer</w:t>
      </w:r>
      <w:r w:rsidRPr="000B6220" w:rsidR="00536EB9">
        <w:t xml:space="preserve"> un service national de remplacement à condition qu</w:t>
      </w:r>
      <w:r w:rsidR="002257E9">
        <w:t>’</w:t>
      </w:r>
      <w:r w:rsidRPr="000B6220" w:rsidR="00536EB9">
        <w:t xml:space="preserve">il ne </w:t>
      </w:r>
      <w:r w:rsidRPr="000B6220" w:rsidR="0085318C">
        <w:t>viole pas</w:t>
      </w:r>
      <w:r w:rsidRPr="000B6220" w:rsidR="00536EB9">
        <w:t xml:space="preserve"> ces valeurs fondamentales</w:t>
      </w:r>
      <w:r w:rsidRPr="000B6220" w:rsidR="00357517">
        <w:t>,</w:t>
      </w:r>
      <w:r w:rsidRPr="000B6220" w:rsidR="00536EB9">
        <w:t xml:space="preserve"> </w:t>
      </w:r>
      <w:r w:rsidRPr="000B6220" w:rsidR="0085318C">
        <w:t xml:space="preserve">ce qui serait </w:t>
      </w:r>
      <w:r w:rsidR="00856256">
        <w:t xml:space="preserve">notamment </w:t>
      </w:r>
      <w:r w:rsidRPr="000B6220" w:rsidR="0085318C">
        <w:t>le cas s</w:t>
      </w:r>
      <w:r w:rsidR="002257E9">
        <w:t>’</w:t>
      </w:r>
      <w:r w:rsidRPr="000B6220" w:rsidR="0085318C">
        <w:t xml:space="preserve">il était </w:t>
      </w:r>
      <w:r w:rsidRPr="000B6220" w:rsidR="00BD4240">
        <w:t xml:space="preserve">géré par </w:t>
      </w:r>
      <w:r w:rsidRPr="000B6220" w:rsidR="0085318C">
        <w:t>les autorités militaires ou visait</w:t>
      </w:r>
      <w:r w:rsidRPr="000B6220" w:rsidR="00BD4240">
        <w:t xml:space="preserve"> </w:t>
      </w:r>
      <w:r w:rsidRPr="000B6220" w:rsidR="0085318C">
        <w:t>à la réalisation d</w:t>
      </w:r>
      <w:r w:rsidR="002257E9">
        <w:t>’</w:t>
      </w:r>
      <w:r w:rsidRPr="000B6220" w:rsidR="00BD4240">
        <w:t xml:space="preserve">activités ou </w:t>
      </w:r>
      <w:r w:rsidRPr="000B6220" w:rsidR="0085318C">
        <w:t>d</w:t>
      </w:r>
      <w:r w:rsidR="002257E9">
        <w:t>’</w:t>
      </w:r>
      <w:r w:rsidRPr="000B6220" w:rsidR="00BD4240">
        <w:t xml:space="preserve">objectifs militaires. Les témoins de Jéhovah </w:t>
      </w:r>
      <w:r w:rsidRPr="000B6220" w:rsidR="001A3707">
        <w:t>auraient</w:t>
      </w:r>
      <w:r w:rsidRPr="000B6220" w:rsidR="00BD4240">
        <w:t xml:space="preserve"> </w:t>
      </w:r>
      <w:r w:rsidR="00856256">
        <w:t>dans le passé</w:t>
      </w:r>
      <w:r w:rsidRPr="000B6220" w:rsidR="00BD4240">
        <w:t xml:space="preserve"> fait l</w:t>
      </w:r>
      <w:r w:rsidR="002257E9">
        <w:t>’</w:t>
      </w:r>
      <w:r w:rsidRPr="000B6220" w:rsidR="00BD4240">
        <w:t xml:space="preserve">objet de </w:t>
      </w:r>
      <w:r w:rsidRPr="000B6220" w:rsidR="0085318C">
        <w:t>divers</w:t>
      </w:r>
      <w:r w:rsidRPr="000B6220" w:rsidR="00357517">
        <w:t xml:space="preserve"> types</w:t>
      </w:r>
      <w:r w:rsidRPr="000B6220" w:rsidR="00BD4240">
        <w:t xml:space="preserve"> de sanctions en raison de leur objection de conscience au service militaire, </w:t>
      </w:r>
      <w:r w:rsidRPr="000B6220" w:rsidR="0085318C">
        <w:t>particulièrement</w:t>
      </w:r>
      <w:r w:rsidRPr="000B6220" w:rsidR="00BD4240">
        <w:t xml:space="preserve"> en temps de guerre. Toutefois, l</w:t>
      </w:r>
      <w:r w:rsidR="002257E9">
        <w:t>’</w:t>
      </w:r>
      <w:r w:rsidRPr="000B6220" w:rsidR="00BD4240">
        <w:t xml:space="preserve">évolution </w:t>
      </w:r>
      <w:r w:rsidRPr="000B6220" w:rsidR="001A3707">
        <w:t>intervenue</w:t>
      </w:r>
      <w:r w:rsidRPr="000B6220" w:rsidR="00BD4240">
        <w:t xml:space="preserve"> après la guerre dans de nombreux pays européens a</w:t>
      </w:r>
      <w:r w:rsidRPr="000B6220" w:rsidR="001A3707">
        <w:t>urait</w:t>
      </w:r>
      <w:r w:rsidRPr="000B6220" w:rsidR="00BD4240">
        <w:t xml:space="preserve"> conduit à la mise en place progressive de formes de service civil de remplacement et </w:t>
      </w:r>
      <w:r w:rsidR="00CC4061">
        <w:t xml:space="preserve">aurait finalement </w:t>
      </w:r>
      <w:r w:rsidRPr="000B6220" w:rsidR="0085318C">
        <w:t>débouch</w:t>
      </w:r>
      <w:r w:rsidR="00CC4061">
        <w:t xml:space="preserve">é </w:t>
      </w:r>
      <w:r w:rsidRPr="000B6220" w:rsidR="0085318C">
        <w:t xml:space="preserve">sur </w:t>
      </w:r>
      <w:r w:rsidRPr="000B6220" w:rsidR="00BD4240">
        <w:t>la suppression du service national obligatoire.</w:t>
      </w:r>
    </w:p>
    <w:p w:rsidRPr="000B6220" w:rsidR="00CC712B" w:rsidP="00E05F30" w:rsidRDefault="00BD4240">
      <w:pPr>
        <w:pStyle w:val="JuPara"/>
      </w:pPr>
      <w:r w:rsidRPr="000B6220">
        <w:fldChar w:fldCharType="begin"/>
      </w:r>
      <w:r w:rsidRPr="000B6220">
        <w:instrText xml:space="preserve"> SEQ level0 \*arabic </w:instrText>
      </w:r>
      <w:r w:rsidRPr="000B6220">
        <w:fldChar w:fldCharType="separate"/>
      </w:r>
      <w:r w:rsidR="00226498">
        <w:rPr>
          <w:noProof/>
        </w:rPr>
        <w:t>90</w:t>
      </w:r>
      <w:r w:rsidRPr="000B6220">
        <w:fldChar w:fldCharType="end"/>
      </w:r>
      <w:r w:rsidRPr="000B6220">
        <w:t>.  </w:t>
      </w:r>
      <w:r w:rsidRPr="000B6220" w:rsidR="0085318C">
        <w:t>L</w:t>
      </w:r>
      <w:r w:rsidR="002257E9">
        <w:t>’</w:t>
      </w:r>
      <w:r w:rsidRPr="000B6220" w:rsidR="00357517">
        <w:t xml:space="preserve">association </w:t>
      </w:r>
      <w:r w:rsidRPr="000B6220" w:rsidR="0085318C">
        <w:t xml:space="preserve">intervenante </w:t>
      </w:r>
      <w:r w:rsidR="00CC4061">
        <w:t>soutient</w:t>
      </w:r>
      <w:r w:rsidRPr="000B6220" w:rsidR="00357517">
        <w:t xml:space="preserve"> en outre qu</w:t>
      </w:r>
      <w:r w:rsidR="002257E9">
        <w:t>’</w:t>
      </w:r>
      <w:r w:rsidRPr="000B6220" w:rsidR="00357517">
        <w:t>il n</w:t>
      </w:r>
      <w:r w:rsidR="002257E9">
        <w:t>’</w:t>
      </w:r>
      <w:r w:rsidRPr="000B6220" w:rsidR="00357517">
        <w:t>est pas possible en Arménie d</w:t>
      </w:r>
      <w:r w:rsidR="002257E9">
        <w:t>’</w:t>
      </w:r>
      <w:r w:rsidRPr="000B6220" w:rsidR="00357517">
        <w:t xml:space="preserve">effectuer un véritable service civil de remplacement </w:t>
      </w:r>
      <w:r w:rsidR="00CC4061">
        <w:t>exempt</w:t>
      </w:r>
      <w:r w:rsidRPr="000B6220" w:rsidR="00357517">
        <w:t xml:space="preserve"> de tout contrôle militaire, raison pour laquelle les jeunes témoins de Jéhovah continue</w:t>
      </w:r>
      <w:r w:rsidR="00955E76">
        <w:t>raie</w:t>
      </w:r>
      <w:r w:rsidRPr="000B6220" w:rsidR="00357517">
        <w:t>nt de s</w:t>
      </w:r>
      <w:r w:rsidR="002257E9">
        <w:t>’</w:t>
      </w:r>
      <w:r w:rsidRPr="000B6220" w:rsidR="00357517">
        <w:t xml:space="preserve">opposer au service </w:t>
      </w:r>
      <w:r w:rsidRPr="000B6220" w:rsidR="0085318C">
        <w:t>de remplacement</w:t>
      </w:r>
      <w:r w:rsidRPr="000B6220" w:rsidR="00357517">
        <w:t xml:space="preserve"> proposé et à être emprisonnés. </w:t>
      </w:r>
      <w:r w:rsidR="00CC4061">
        <w:t>E</w:t>
      </w:r>
      <w:r w:rsidRPr="000B6220" w:rsidR="00CC4061">
        <w:t>ntre 2002 et 2010</w:t>
      </w:r>
      <w:r w:rsidR="00CC4061">
        <w:t xml:space="preserve">, </w:t>
      </w:r>
      <w:r w:rsidRPr="000B6220" w:rsidR="00357517">
        <w:t>273 personnes auraient été condamnées et, à l</w:t>
      </w:r>
      <w:r w:rsidR="002257E9">
        <w:t>’</w:t>
      </w:r>
      <w:r w:rsidRPr="000B6220" w:rsidR="00357517">
        <w:t xml:space="preserve">heure actuelle, </w:t>
      </w:r>
      <w:r w:rsidRPr="000B6220" w:rsidR="00CC712B">
        <w:t>72 personnes purge</w:t>
      </w:r>
      <w:r w:rsidRPr="000B6220" w:rsidR="00ED7284">
        <w:t>raie</w:t>
      </w:r>
      <w:r w:rsidRPr="000B6220" w:rsidR="00CC712B">
        <w:t xml:space="preserve">nt des peines de </w:t>
      </w:r>
      <w:r w:rsidR="00CC4061">
        <w:t>vingt-quatre</w:t>
      </w:r>
      <w:r w:rsidRPr="000B6220" w:rsidR="00CC712B">
        <w:t xml:space="preserve"> à </w:t>
      </w:r>
      <w:r w:rsidR="00CC4061">
        <w:t>trente-six</w:t>
      </w:r>
      <w:r w:rsidRPr="000B6220" w:rsidR="00CC712B">
        <w:t xml:space="preserve"> mois d</w:t>
      </w:r>
      <w:r w:rsidR="002257E9">
        <w:t>’</w:t>
      </w:r>
      <w:r w:rsidRPr="000B6220" w:rsidR="00CC712B">
        <w:t>emprisonnement. Ces personnes subi</w:t>
      </w:r>
      <w:r w:rsidRPr="000B6220" w:rsidR="00ED7284">
        <w:t>raie</w:t>
      </w:r>
      <w:r w:rsidRPr="000B6220" w:rsidR="00CC712B">
        <w:t>nt aussi d</w:t>
      </w:r>
      <w:r w:rsidR="002257E9">
        <w:t>’</w:t>
      </w:r>
      <w:r w:rsidRPr="000B6220" w:rsidR="00ED7284">
        <w:t>autres formes de harcèlement :</w:t>
      </w:r>
      <w:r w:rsidRPr="000B6220" w:rsidR="00CC712B">
        <w:t xml:space="preserve"> elles se </w:t>
      </w:r>
      <w:r w:rsidRPr="000B6220" w:rsidR="00ED7284">
        <w:t xml:space="preserve">verraient </w:t>
      </w:r>
      <w:r w:rsidRPr="000B6220" w:rsidR="00CC712B">
        <w:t>par exemple refuser la délivrance d</w:t>
      </w:r>
      <w:r w:rsidR="002257E9">
        <w:t>’</w:t>
      </w:r>
      <w:r w:rsidRPr="000B6220" w:rsidR="00CC712B">
        <w:t xml:space="preserve">un passeport, </w:t>
      </w:r>
      <w:r w:rsidR="00955E76">
        <w:t>les mettant ainsi dans l</w:t>
      </w:r>
      <w:r w:rsidR="002257E9">
        <w:t>’</w:t>
      </w:r>
      <w:r w:rsidR="00955E76">
        <w:t xml:space="preserve">impossibilité </w:t>
      </w:r>
      <w:r w:rsidRPr="000B6220" w:rsidR="00CC712B">
        <w:t>d</w:t>
      </w:r>
      <w:r w:rsidR="002257E9">
        <w:t>’</w:t>
      </w:r>
      <w:r w:rsidRPr="000B6220" w:rsidR="00CC712B">
        <w:t>obtenir un emploi, d</w:t>
      </w:r>
      <w:r w:rsidR="002257E9">
        <w:t>’</w:t>
      </w:r>
      <w:r w:rsidRPr="000B6220" w:rsidR="00CC712B">
        <w:t>ouvrir un compte en banque ou même de se marier.</w:t>
      </w:r>
    </w:p>
    <w:p w:rsidR="00C27424" w:rsidP="00E05F30" w:rsidRDefault="00CC712B">
      <w:pPr>
        <w:pStyle w:val="JuPara"/>
      </w:pPr>
      <w:r w:rsidRPr="000B6220">
        <w:fldChar w:fldCharType="begin"/>
      </w:r>
      <w:r w:rsidRPr="000B6220">
        <w:instrText xml:space="preserve"> SEQ level0 \*arabic </w:instrText>
      </w:r>
      <w:r w:rsidRPr="000B6220">
        <w:fldChar w:fldCharType="separate"/>
      </w:r>
      <w:r w:rsidR="00226498">
        <w:rPr>
          <w:noProof/>
        </w:rPr>
        <w:t>91</w:t>
      </w:r>
      <w:r w:rsidRPr="000B6220">
        <w:fldChar w:fldCharType="end"/>
      </w:r>
      <w:r w:rsidRPr="000B6220">
        <w:t>.  Pour conclure, l</w:t>
      </w:r>
      <w:r w:rsidR="002257E9">
        <w:t>’</w:t>
      </w:r>
      <w:r w:rsidRPr="000B6220">
        <w:t>association appelle la Grande Chambre à appliquer la théorie de l</w:t>
      </w:r>
      <w:r w:rsidR="002257E9">
        <w:t>’</w:t>
      </w:r>
      <w:r w:rsidRPr="000B6220">
        <w:t xml:space="preserve">instrument vivant et à mettre la jurisprudence de la Cour en conformité avec les conditions actuelles. Elle </w:t>
      </w:r>
      <w:r w:rsidR="00D15075">
        <w:t xml:space="preserve">considère </w:t>
      </w:r>
      <w:r w:rsidRPr="000B6220">
        <w:t>que les impératifs de la défense des Etats membres ne s</w:t>
      </w:r>
      <w:r w:rsidR="002257E9">
        <w:t>’</w:t>
      </w:r>
      <w:r w:rsidRPr="000B6220">
        <w:t>imposent plus aujourd</w:t>
      </w:r>
      <w:r w:rsidR="002257E9">
        <w:t>’</w:t>
      </w:r>
      <w:r w:rsidRPr="000B6220">
        <w:t>hui avec la même force qu</w:t>
      </w:r>
      <w:r w:rsidR="002257E9">
        <w:t>’</w:t>
      </w:r>
      <w:r w:rsidRPr="000B6220">
        <w:t>à l</w:t>
      </w:r>
      <w:r w:rsidR="002257E9">
        <w:t>’</w:t>
      </w:r>
      <w:r w:rsidRPr="000B6220">
        <w:t>époque où les premières décisions ont été rendues en la matière, et que les Etats membres peuvent répondre à la nécessité d</w:t>
      </w:r>
      <w:r w:rsidR="002257E9">
        <w:t>’</w:t>
      </w:r>
      <w:r w:rsidRPr="000B6220">
        <w:t>organiser leur service national sans méconnaître les droits garantis par l</w:t>
      </w:r>
      <w:r w:rsidR="002257E9">
        <w:t>’</w:t>
      </w:r>
      <w:r w:rsidRPr="000B6220">
        <w:t>article 9 de la Convention.</w:t>
      </w:r>
    </w:p>
    <w:p w:rsidRPr="000B6220" w:rsidR="006C5B9E" w:rsidP="00E05F30" w:rsidRDefault="00250012">
      <w:pPr>
        <w:pStyle w:val="JuHA"/>
        <w:outlineLvl w:val="0"/>
      </w:pPr>
      <w:r>
        <w:t>C</w:t>
      </w:r>
      <w:r w:rsidRPr="000B6220" w:rsidR="006C5B9E">
        <w:t>.  </w:t>
      </w:r>
      <w:r w:rsidRPr="000B6220" w:rsidR="00E71F66">
        <w:t>Appréciation de la Cour</w:t>
      </w:r>
    </w:p>
    <w:p w:rsidRPr="000B6220" w:rsidR="00E71F66" w:rsidP="00E05F30" w:rsidRDefault="00E71F66">
      <w:pPr>
        <w:pStyle w:val="JuH1"/>
        <w:outlineLvl w:val="0"/>
      </w:pPr>
      <w:r w:rsidRPr="000B6220">
        <w:t>1.  Applicabilité de l</w:t>
      </w:r>
      <w:r w:rsidR="002257E9">
        <w:t>’</w:t>
      </w:r>
      <w:r w:rsidRPr="000B6220">
        <w:t>article 9</w:t>
      </w:r>
    </w:p>
    <w:p w:rsidRPr="000B6220" w:rsidR="006C5B9E"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92</w:t>
      </w:r>
      <w:r w:rsidRPr="000B6220">
        <w:fldChar w:fldCharType="end"/>
      </w:r>
      <w:r w:rsidRPr="000B6220" w:rsidR="006C5B9E">
        <w:t>.  </w:t>
      </w:r>
      <w:r w:rsidRPr="000B6220" w:rsidR="00A95D4B">
        <w:t>Le Gouvernement</w:t>
      </w:r>
      <w:r w:rsidR="00C735E2">
        <w:t xml:space="preserve">, se fondant sur </w:t>
      </w:r>
      <w:r w:rsidRPr="000B6220" w:rsidR="00C735E2">
        <w:t>la jurisprudence de la Commission</w:t>
      </w:r>
      <w:r w:rsidR="00C735E2">
        <w:t>,</w:t>
      </w:r>
      <w:r w:rsidRPr="000B6220" w:rsidR="00A95D4B">
        <w:t xml:space="preserve"> conteste que l</w:t>
      </w:r>
      <w:r w:rsidR="002257E9">
        <w:t>’</w:t>
      </w:r>
      <w:r w:rsidRPr="000B6220" w:rsidR="00A95D4B">
        <w:t>article 9 soit applicable en l</w:t>
      </w:r>
      <w:r w:rsidR="002257E9">
        <w:t>’</w:t>
      </w:r>
      <w:r w:rsidRPr="000B6220" w:rsidR="00A95D4B">
        <w:t xml:space="preserve">espèce, tandis que le requérant et les tiers intervenants considèrent que cette jurisprudence est obsolète et demandent </w:t>
      </w:r>
      <w:r w:rsidR="00192E51">
        <w:t>sa</w:t>
      </w:r>
      <w:r w:rsidRPr="000B6220" w:rsidR="00A95D4B">
        <w:t xml:space="preserve"> mise en conformité avec les conditions actuelles.</w:t>
      </w:r>
    </w:p>
    <w:p w:rsidRPr="000B6220" w:rsidR="00E71F66" w:rsidP="00E05F30" w:rsidRDefault="00E71F66">
      <w:pPr>
        <w:pStyle w:val="JuHa0"/>
      </w:pPr>
      <w:r w:rsidRPr="000B6220">
        <w:t>a)  Récapitulatif de la jurisprudence pertinente</w:t>
      </w:r>
    </w:p>
    <w:p w:rsidRPr="000B6220" w:rsidR="006C5B9E"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93</w:t>
      </w:r>
      <w:r w:rsidRPr="000B6220">
        <w:fldChar w:fldCharType="end"/>
      </w:r>
      <w:r w:rsidRPr="000B6220" w:rsidR="006C5B9E">
        <w:t>.  </w:t>
      </w:r>
      <w:r w:rsidRPr="000B6220" w:rsidR="006E50C7">
        <w:t xml:space="preserve">La Cour </w:t>
      </w:r>
      <w:r w:rsidRPr="000B6220" w:rsidR="00ED7284">
        <w:t>note</w:t>
      </w:r>
      <w:r w:rsidRPr="000B6220" w:rsidR="006E50C7">
        <w:t xml:space="preserve"> que c</w:t>
      </w:r>
      <w:r w:rsidR="002257E9">
        <w:t>’</w:t>
      </w:r>
      <w:r w:rsidRPr="000B6220" w:rsidR="006E50C7">
        <w:t>est dans l</w:t>
      </w:r>
      <w:r w:rsidR="002257E9">
        <w:t>’</w:t>
      </w:r>
      <w:r w:rsidRPr="000B6220" w:rsidR="006E50C7">
        <w:t xml:space="preserve">affaire </w:t>
      </w:r>
      <w:r w:rsidRPr="000B6220" w:rsidR="009637ED">
        <w:rPr>
          <w:i/>
          <w:iCs/>
        </w:rPr>
        <w:t>Grandrath c. Allemagne</w:t>
      </w:r>
      <w:r w:rsidRPr="000B6220" w:rsidR="009637ED">
        <w:t xml:space="preserve"> </w:t>
      </w:r>
      <w:bookmarkStart w:name="hit1" w:id="3"/>
      <w:bookmarkEnd w:id="3"/>
      <w:r w:rsidRPr="000B6220" w:rsidR="009637ED">
        <w:t>(n</w:t>
      </w:r>
      <w:r w:rsidRPr="000B6220" w:rsidR="009637ED">
        <w:rPr>
          <w:vertAlign w:val="superscript"/>
        </w:rPr>
        <w:t>o</w:t>
      </w:r>
      <w:r w:rsidR="00D600A2">
        <w:t> </w:t>
      </w:r>
      <w:r w:rsidRPr="000B6220" w:rsidR="009637ED">
        <w:t xml:space="preserve">2299/64, rapport </w:t>
      </w:r>
      <w:r w:rsidR="00C735E2">
        <w:t xml:space="preserve">de la </w:t>
      </w:r>
      <w:r w:rsidRPr="000B6220" w:rsidR="009637ED">
        <w:t>Comm</w:t>
      </w:r>
      <w:r w:rsidR="00C735E2">
        <w:t xml:space="preserve">ission du </w:t>
      </w:r>
      <w:r w:rsidR="003E1D51">
        <w:t>12 décembre 1966</w:t>
      </w:r>
      <w:r w:rsidRPr="000B6220" w:rsidR="009637ED">
        <w:t>, Annuaire</w:t>
      </w:r>
      <w:r w:rsidR="003E1D51">
        <w:t xml:space="preserve"> </w:t>
      </w:r>
      <w:r w:rsidR="000D5D85">
        <w:t>10, p</w:t>
      </w:r>
      <w:r w:rsidR="00AA01AE">
        <w:t xml:space="preserve">. </w:t>
      </w:r>
      <w:r w:rsidRPr="003E1D51" w:rsidR="009637ED">
        <w:t>626),</w:t>
      </w:r>
      <w:r w:rsidRPr="000B6220" w:rsidR="009637ED">
        <w:t xml:space="preserve"> qui concernait un témoin de Jéhovah </w:t>
      </w:r>
      <w:r w:rsidRPr="000B6220" w:rsidR="007506E5">
        <w:t xml:space="preserve">ayant </w:t>
      </w:r>
      <w:r w:rsidRPr="000B6220" w:rsidR="009637ED">
        <w:t>cherch</w:t>
      </w:r>
      <w:r w:rsidRPr="000B6220" w:rsidR="007506E5">
        <w:t>é</w:t>
      </w:r>
      <w:r w:rsidRPr="000B6220" w:rsidR="009637ED">
        <w:t xml:space="preserve"> à se faire exempter non seulement du service militaire mais aussi du service civil de remplacement</w:t>
      </w:r>
      <w:r w:rsidRPr="000B6220" w:rsidR="007506E5">
        <w:t>, que la Commission européenne des droits de l</w:t>
      </w:r>
      <w:r w:rsidR="002257E9">
        <w:t>’</w:t>
      </w:r>
      <w:r w:rsidRPr="000B6220" w:rsidR="007506E5">
        <w:t>homme exprim</w:t>
      </w:r>
      <w:r w:rsidR="003E1D51">
        <w:t>a</w:t>
      </w:r>
      <w:r w:rsidRPr="000B6220" w:rsidR="007506E5">
        <w:t xml:space="preserve"> pour la première fois sa position sur la question du droit à l</w:t>
      </w:r>
      <w:r w:rsidR="002257E9">
        <w:t>’</w:t>
      </w:r>
      <w:r w:rsidRPr="000B6220" w:rsidR="007506E5">
        <w:t>objection de conscience</w:t>
      </w:r>
      <w:r w:rsidRPr="000B6220" w:rsidR="009637ED">
        <w:t xml:space="preserve">. </w:t>
      </w:r>
      <w:r w:rsidRPr="000B6220" w:rsidR="007506E5">
        <w:t>Dans cette affaire, le requérant</w:t>
      </w:r>
      <w:r w:rsidRPr="000B6220" w:rsidR="009637ED">
        <w:t xml:space="preserve"> se plaignait d</w:t>
      </w:r>
      <w:r w:rsidR="002257E9">
        <w:t>’</w:t>
      </w:r>
      <w:r w:rsidRPr="000B6220" w:rsidR="009637ED">
        <w:t>une violation de l</w:t>
      </w:r>
      <w:r w:rsidR="002257E9">
        <w:t>’</w:t>
      </w:r>
      <w:r w:rsidRPr="000B6220" w:rsidR="009637ED">
        <w:t>article 9</w:t>
      </w:r>
      <w:r w:rsidRPr="000B6220" w:rsidR="007506E5">
        <w:t xml:space="preserve"> </w:t>
      </w:r>
      <w:r w:rsidRPr="000B6220" w:rsidR="00ED7284">
        <w:t xml:space="preserve">de la Convention </w:t>
      </w:r>
      <w:r w:rsidRPr="000B6220" w:rsidR="007506E5">
        <w:t>au motif que les autorités lui</w:t>
      </w:r>
      <w:r w:rsidRPr="000B6220" w:rsidR="009637ED">
        <w:t xml:space="preserve"> avaient imposé une forme de service contraire à sa conscience et à sa religion et l</w:t>
      </w:r>
      <w:r w:rsidR="002257E9">
        <w:t>’</w:t>
      </w:r>
      <w:r w:rsidRPr="000B6220" w:rsidR="009637ED">
        <w:t>avaient puni pour avoir refusé d</w:t>
      </w:r>
      <w:r w:rsidR="002257E9">
        <w:t>’</w:t>
      </w:r>
      <w:r w:rsidRPr="000B6220" w:rsidR="009637ED">
        <w:t xml:space="preserve">effectuer un tel service. La Commission </w:t>
      </w:r>
      <w:r w:rsidR="003E1D51">
        <w:t>observa</w:t>
      </w:r>
      <w:r w:rsidRPr="000B6220" w:rsidR="009637ED">
        <w:t xml:space="preserve"> d</w:t>
      </w:r>
      <w:r w:rsidR="002257E9">
        <w:t>’</w:t>
      </w:r>
      <w:r w:rsidRPr="000B6220" w:rsidR="009637ED">
        <w:t>emblée que, si l</w:t>
      </w:r>
      <w:r w:rsidR="002257E9">
        <w:t>’</w:t>
      </w:r>
      <w:r w:rsidRPr="000B6220" w:rsidR="009637ED">
        <w:t>article 9 garanti</w:t>
      </w:r>
      <w:r w:rsidR="003E1D51">
        <w:t>ssai</w:t>
      </w:r>
      <w:r w:rsidRPr="000B6220" w:rsidR="009637ED">
        <w:t>t le droit à la liberté de pensée, de conscience et de religion en général, l</w:t>
      </w:r>
      <w:r w:rsidR="002257E9">
        <w:t>’</w:t>
      </w:r>
      <w:r w:rsidRPr="000B6220" w:rsidR="009637ED">
        <w:t>article 4 de la Convention cont</w:t>
      </w:r>
      <w:r w:rsidR="003E1D51">
        <w:t>enait</w:t>
      </w:r>
      <w:r w:rsidR="00400BD4">
        <w:t xml:space="preserve"> une disposition qui portait</w:t>
      </w:r>
      <w:r w:rsidRPr="000B6220" w:rsidR="009637ED">
        <w:t xml:space="preserve"> expressément sur la question du service exigé à la place du service militaire obligatoire dans </w:t>
      </w:r>
      <w:r w:rsidRPr="000B6220" w:rsidR="007506E5">
        <w:t>le cas d</w:t>
      </w:r>
      <w:r w:rsidR="00955E76">
        <w:t xml:space="preserve">es </w:t>
      </w:r>
      <w:r w:rsidRPr="000B6220" w:rsidR="009637ED">
        <w:t xml:space="preserve">objecteurs de conscience. </w:t>
      </w:r>
      <w:r w:rsidRPr="000B6220" w:rsidR="007506E5">
        <w:t>Elle conclu</w:t>
      </w:r>
      <w:r w:rsidR="00400BD4">
        <w:t>t</w:t>
      </w:r>
      <w:r w:rsidRPr="000B6220" w:rsidR="007506E5">
        <w:t xml:space="preserve"> que, l</w:t>
      </w:r>
      <w:r w:rsidR="002257E9">
        <w:t>’</w:t>
      </w:r>
      <w:r w:rsidRPr="000B6220" w:rsidR="007506E5">
        <w:t>article 4 reconnaissant explicitement qu</w:t>
      </w:r>
      <w:r w:rsidR="002257E9">
        <w:t>’</w:t>
      </w:r>
      <w:r w:rsidRPr="000B6220" w:rsidR="007506E5">
        <w:t>un service civil pouvait être imposé aux objecteurs de conscience à la place du service militaire</w:t>
      </w:r>
      <w:r w:rsidRPr="000B6220" w:rsidR="00ED7284">
        <w:t>, la Convention ne permettait pas d</w:t>
      </w:r>
      <w:r w:rsidR="002257E9">
        <w:t>’</w:t>
      </w:r>
      <w:r w:rsidRPr="000B6220" w:rsidR="00ED7284">
        <w:t>exempter d</w:t>
      </w:r>
      <w:r w:rsidR="002257E9">
        <w:t>’</w:t>
      </w:r>
      <w:r w:rsidRPr="000B6220" w:rsidR="00ED7284">
        <w:t>un tel service les personnes éprouvant des objections de conscience</w:t>
      </w:r>
      <w:r w:rsidRPr="000B6220" w:rsidR="007506E5">
        <w:t xml:space="preserve">. La Commission </w:t>
      </w:r>
      <w:r w:rsidR="00400BD4">
        <w:t>jugea</w:t>
      </w:r>
      <w:r w:rsidRPr="000B6220" w:rsidR="007506E5">
        <w:t xml:space="preserve"> superflu de se pencher sur l</w:t>
      </w:r>
      <w:r w:rsidR="002257E9">
        <w:t>’</w:t>
      </w:r>
      <w:r w:rsidRPr="000B6220" w:rsidR="007506E5">
        <w:t>interprétation de</w:t>
      </w:r>
      <w:r w:rsidRPr="000B6220" w:rsidR="00ED7284">
        <w:t>s</w:t>
      </w:r>
      <w:r w:rsidRPr="000B6220" w:rsidR="007506E5">
        <w:t xml:space="preserve"> </w:t>
      </w:r>
      <w:r w:rsidRPr="000B6220" w:rsidR="00ED7284">
        <w:t>termes</w:t>
      </w:r>
      <w:r w:rsidRPr="000B6220" w:rsidR="007506E5">
        <w:t xml:space="preserve"> « liberté de cons</w:t>
      </w:r>
      <w:r w:rsidRPr="000B6220" w:rsidR="00ED7284">
        <w:t>cience et de religion » utilisés</w:t>
      </w:r>
      <w:r w:rsidRPr="000B6220" w:rsidR="007506E5">
        <w:t xml:space="preserve"> à l</w:t>
      </w:r>
      <w:r w:rsidR="002257E9">
        <w:t>’</w:t>
      </w:r>
      <w:r w:rsidRPr="000B6220" w:rsidR="007506E5">
        <w:t>article 9 et conclu</w:t>
      </w:r>
      <w:r w:rsidR="00400BD4">
        <w:t>t</w:t>
      </w:r>
      <w:r w:rsidRPr="000B6220" w:rsidR="007506E5">
        <w:t xml:space="preserve"> à la non-violation de cette disposition prise séparément.</w:t>
      </w:r>
    </w:p>
    <w:p w:rsidR="00C27424" w:rsidP="00E05F30" w:rsidRDefault="007506E5">
      <w:pPr>
        <w:pStyle w:val="JuPara"/>
      </w:pPr>
      <w:r w:rsidRPr="000B6220">
        <w:fldChar w:fldCharType="begin"/>
      </w:r>
      <w:r w:rsidRPr="000B6220">
        <w:instrText xml:space="preserve"> SEQ level0 \*arabic </w:instrText>
      </w:r>
      <w:r w:rsidRPr="000B6220">
        <w:fldChar w:fldCharType="separate"/>
      </w:r>
      <w:r w:rsidR="00226498">
        <w:rPr>
          <w:noProof/>
        </w:rPr>
        <w:t>94</w:t>
      </w:r>
      <w:r w:rsidRPr="000B6220">
        <w:fldChar w:fldCharType="end"/>
      </w:r>
      <w:r w:rsidRPr="000B6220">
        <w:t>.  </w:t>
      </w:r>
      <w:r w:rsidRPr="000B6220" w:rsidR="004519B8">
        <w:t>De même, dans l</w:t>
      </w:r>
      <w:r w:rsidR="002257E9">
        <w:t>’</w:t>
      </w:r>
      <w:r w:rsidRPr="000B6220" w:rsidR="004519B8">
        <w:t xml:space="preserve">affaire </w:t>
      </w:r>
      <w:r w:rsidR="000D5D85">
        <w:rPr>
          <w:i/>
        </w:rPr>
        <w:t>G.Z.</w:t>
      </w:r>
      <w:r w:rsidRPr="000B6220" w:rsidR="004519B8">
        <w:rPr>
          <w:i/>
        </w:rPr>
        <w:t xml:space="preserve"> c. Autriche</w:t>
      </w:r>
      <w:r w:rsidRPr="000B6220" w:rsidR="004519B8">
        <w:t xml:space="preserve"> </w:t>
      </w:r>
      <w:r w:rsidRPr="000B6220" w:rsidR="000B6220">
        <w:t>(</w:t>
      </w:r>
      <w:r w:rsidRPr="000B6220" w:rsidR="004519B8">
        <w:t>n</w:t>
      </w:r>
      <w:r w:rsidRPr="00E40C8E" w:rsidR="00E40C8E">
        <w:rPr>
          <w:vertAlign w:val="superscript"/>
        </w:rPr>
        <w:t>o</w:t>
      </w:r>
      <w:r w:rsidRPr="000B6220" w:rsidR="004519B8">
        <w:t xml:space="preserve"> 5591/72, décision de la Commission du 2 avril 1973, Recueil</w:t>
      </w:r>
      <w:r w:rsidR="003474FE">
        <w:t xml:space="preserve"> de décisions</w:t>
      </w:r>
      <w:r w:rsidRPr="000B6220" w:rsidR="004519B8">
        <w:t xml:space="preserve"> 43, p. 161), la Commission </w:t>
      </w:r>
      <w:r w:rsidR="00400BD4">
        <w:t>déclara</w:t>
      </w:r>
      <w:r w:rsidRPr="000B6220" w:rsidR="004519B8">
        <w:t xml:space="preserve"> que, pour interpréter l</w:t>
      </w:r>
      <w:r w:rsidR="002257E9">
        <w:t>’</w:t>
      </w:r>
      <w:r w:rsidRPr="000B6220" w:rsidR="004519B8">
        <w:t>article 9 de la Convention, elle avait aussi tenu compte du texte de l</w:t>
      </w:r>
      <w:r w:rsidR="002257E9">
        <w:t>’</w:t>
      </w:r>
      <w:r w:rsidRPr="000B6220" w:rsidR="004519B8">
        <w:t>article 4 § 3 b) de la Convention, aux termes duquel n</w:t>
      </w:r>
      <w:r w:rsidR="002257E9">
        <w:t>’</w:t>
      </w:r>
      <w:r w:rsidR="00E333CB">
        <w:t>était</w:t>
      </w:r>
      <w:r w:rsidRPr="000B6220" w:rsidR="004519B8">
        <w:t xml:space="preserve"> pas considéré comme travail forcé ou obligatoire « tout service de caractère militaire ou, dans le cas d</w:t>
      </w:r>
      <w:r w:rsidR="002257E9">
        <w:t>’</w:t>
      </w:r>
      <w:r w:rsidRPr="000B6220" w:rsidR="004519B8">
        <w:t>objecteurs de conscience dans les pays où l</w:t>
      </w:r>
      <w:r w:rsidR="002257E9">
        <w:t>’</w:t>
      </w:r>
      <w:r w:rsidRPr="000B6220" w:rsidR="004519B8">
        <w:t xml:space="preserve">objection de conscience </w:t>
      </w:r>
      <w:r w:rsidR="00E333CB">
        <w:t>[était]</w:t>
      </w:r>
      <w:r w:rsidRPr="000B6220" w:rsidR="004519B8">
        <w:t xml:space="preserve"> reconnue comme légitime, un autre service à la place du service militaire obligatoire ». </w:t>
      </w:r>
      <w:r w:rsidRPr="000B6220" w:rsidR="00ED7284">
        <w:t>L</w:t>
      </w:r>
      <w:r w:rsidRPr="000B6220" w:rsidR="004519B8">
        <w:t>a Commission</w:t>
      </w:r>
      <w:r w:rsidRPr="000B6220" w:rsidR="00ED7284">
        <w:t xml:space="preserve"> </w:t>
      </w:r>
      <w:r w:rsidR="00E333CB">
        <w:t>considéra</w:t>
      </w:r>
      <w:r w:rsidRPr="000B6220" w:rsidR="00ED7284">
        <w:t xml:space="preserve"> que</w:t>
      </w:r>
      <w:r w:rsidRPr="000B6220" w:rsidR="004519B8">
        <w:t>, comme cette disposition inclu</w:t>
      </w:r>
      <w:r w:rsidR="00E333CB">
        <w:t>ai</w:t>
      </w:r>
      <w:r w:rsidRPr="000B6220" w:rsidR="004519B8">
        <w:t>t les termes « dans les pays où l</w:t>
      </w:r>
      <w:r w:rsidR="002257E9">
        <w:t>’</w:t>
      </w:r>
      <w:r w:rsidRPr="000B6220" w:rsidR="004519B8">
        <w:t xml:space="preserve">objection de conscience est reconnue comme légitime », les Hautes Parties contractantes </w:t>
      </w:r>
      <w:r w:rsidRPr="000B6220" w:rsidR="00ED7284">
        <w:t>avaient</w:t>
      </w:r>
      <w:r w:rsidRPr="000B6220" w:rsidR="004519B8">
        <w:t xml:space="preserve"> le choix de reconnaître ou non l</w:t>
      </w:r>
      <w:r w:rsidR="002257E9">
        <w:t>’</w:t>
      </w:r>
      <w:r w:rsidRPr="000B6220" w:rsidR="004519B8">
        <w:t>objection de conscience et, si elles la reconnaiss</w:t>
      </w:r>
      <w:r w:rsidRPr="000B6220" w:rsidR="00ED7284">
        <w:t>ai</w:t>
      </w:r>
      <w:r w:rsidRPr="000B6220" w:rsidR="004519B8">
        <w:t>ent, de prévoir une forme de service de remplacement. C</w:t>
      </w:r>
      <w:r w:rsidR="002257E9">
        <w:t>’</w:t>
      </w:r>
      <w:r w:rsidRPr="000B6220" w:rsidR="004519B8">
        <w:t xml:space="preserve">est pourquoi la Commission </w:t>
      </w:r>
      <w:r w:rsidR="00E333CB">
        <w:t>jugea</w:t>
      </w:r>
      <w:r w:rsidRPr="000B6220" w:rsidR="004519B8">
        <w:t xml:space="preserve"> que l</w:t>
      </w:r>
      <w:r w:rsidR="002257E9">
        <w:t>’</w:t>
      </w:r>
      <w:r w:rsidRPr="000B6220" w:rsidR="004519B8">
        <w:t>article 9, interprété à la lumière de l</w:t>
      </w:r>
      <w:r w:rsidR="002257E9">
        <w:t>’</w:t>
      </w:r>
      <w:r w:rsidRPr="000B6220" w:rsidR="004519B8">
        <w:t>article 4 § 3 b), n</w:t>
      </w:r>
      <w:r w:rsidR="002257E9">
        <w:t>’</w:t>
      </w:r>
      <w:r w:rsidRPr="000B6220" w:rsidR="004519B8">
        <w:t>impos</w:t>
      </w:r>
      <w:r w:rsidRPr="000B6220" w:rsidR="00ED7284">
        <w:t>ait</w:t>
      </w:r>
      <w:r w:rsidRPr="000B6220" w:rsidR="004519B8">
        <w:t xml:space="preserve"> pas aux Etats l</w:t>
      </w:r>
      <w:r w:rsidR="002257E9">
        <w:t>’</w:t>
      </w:r>
      <w:r w:rsidRPr="000B6220" w:rsidR="004519B8">
        <w:t>obligation de reconnaître l</w:t>
      </w:r>
      <w:r w:rsidR="002257E9">
        <w:t>’</w:t>
      </w:r>
      <w:r w:rsidRPr="000B6220" w:rsidR="004519B8">
        <w:t>objection de conscience ni, en conséquence, de prendre des dispositions spéciales pour permettre aux objecteurs de conscience d</w:t>
      </w:r>
      <w:r w:rsidR="002257E9">
        <w:t>’</w:t>
      </w:r>
      <w:r w:rsidRPr="000B6220" w:rsidR="004519B8">
        <w:t>exercer leur droit à la liberté de conscience et de religion pour autant que celui-ci a</w:t>
      </w:r>
      <w:r w:rsidRPr="000B6220" w:rsidR="00ED7284">
        <w:t>vait</w:t>
      </w:r>
      <w:r w:rsidRPr="000B6220" w:rsidR="004519B8">
        <w:t xml:space="preserve"> une incidence sur l</w:t>
      </w:r>
      <w:r w:rsidR="002257E9">
        <w:t>’</w:t>
      </w:r>
      <w:r w:rsidRPr="000B6220" w:rsidR="004519B8">
        <w:t xml:space="preserve">accomplissement par eux du service militaire obligatoire. </w:t>
      </w:r>
      <w:r w:rsidR="00E333CB">
        <w:t>Partant</w:t>
      </w:r>
      <w:r w:rsidRPr="000B6220" w:rsidR="00ED7284">
        <w:t xml:space="preserve">, </w:t>
      </w:r>
      <w:r w:rsidRPr="000B6220" w:rsidR="004519B8">
        <w:t xml:space="preserve">la Commission </w:t>
      </w:r>
      <w:r w:rsidR="00996314">
        <w:t>estima</w:t>
      </w:r>
      <w:r w:rsidRPr="000B6220" w:rsidR="00ED7284">
        <w:t xml:space="preserve"> </w:t>
      </w:r>
      <w:r w:rsidRPr="000B6220" w:rsidR="004519B8">
        <w:t>que ces articles n</w:t>
      </w:r>
      <w:r w:rsidR="002257E9">
        <w:t>’</w:t>
      </w:r>
      <w:r w:rsidRPr="000B6220" w:rsidR="004519B8">
        <w:t>empêch</w:t>
      </w:r>
      <w:r w:rsidRPr="000B6220" w:rsidR="00ED7284">
        <w:t>ai</w:t>
      </w:r>
      <w:r w:rsidRPr="000B6220" w:rsidR="004519B8">
        <w:t xml:space="preserve">ent pas un Etat </w:t>
      </w:r>
      <w:r w:rsidRPr="000B6220" w:rsidR="00ED7284">
        <w:t>n</w:t>
      </w:r>
      <w:r w:rsidR="002257E9">
        <w:t>’</w:t>
      </w:r>
      <w:r w:rsidRPr="000B6220" w:rsidR="00ED7284">
        <w:t xml:space="preserve">ayant </w:t>
      </w:r>
      <w:r w:rsidRPr="000B6220" w:rsidR="004519B8">
        <w:t>pas reconnu l</w:t>
      </w:r>
      <w:r w:rsidR="002257E9">
        <w:t>’</w:t>
      </w:r>
      <w:r w:rsidRPr="000B6220" w:rsidR="004519B8">
        <w:t>objection de conscience de sanctionner les personnes qui refus</w:t>
      </w:r>
      <w:r w:rsidRPr="000B6220" w:rsidR="000B6220">
        <w:t>ai</w:t>
      </w:r>
      <w:r w:rsidRPr="000B6220" w:rsidR="004519B8">
        <w:t>ent d</w:t>
      </w:r>
      <w:r w:rsidR="002257E9">
        <w:t>’</w:t>
      </w:r>
      <w:r w:rsidRPr="000B6220" w:rsidR="004519B8">
        <w:t>effectuer leur service militaire</w:t>
      </w:r>
    </w:p>
    <w:p w:rsidR="00C27424" w:rsidP="00E05F30" w:rsidRDefault="004519B8">
      <w:pPr>
        <w:pStyle w:val="JuPara"/>
      </w:pPr>
      <w:r w:rsidRPr="000B6220">
        <w:fldChar w:fldCharType="begin"/>
      </w:r>
      <w:r w:rsidRPr="000B6220">
        <w:instrText xml:space="preserve"> SEQ level0 \*arabic </w:instrText>
      </w:r>
      <w:r w:rsidRPr="000B6220">
        <w:fldChar w:fldCharType="separate"/>
      </w:r>
      <w:r w:rsidR="00226498">
        <w:rPr>
          <w:noProof/>
        </w:rPr>
        <w:t>95</w:t>
      </w:r>
      <w:r w:rsidRPr="000B6220">
        <w:fldChar w:fldCharType="end"/>
      </w:r>
      <w:r w:rsidRPr="000B6220">
        <w:t xml:space="preserve">.  Par la suite, la Commission </w:t>
      </w:r>
      <w:r w:rsidR="00996314">
        <w:t>confirma</w:t>
      </w:r>
      <w:r w:rsidRPr="000B6220">
        <w:t xml:space="preserve"> cette approche dans l</w:t>
      </w:r>
      <w:r w:rsidR="002257E9">
        <w:t>’</w:t>
      </w:r>
      <w:r w:rsidRPr="000B6220">
        <w:t xml:space="preserve">affaire </w:t>
      </w:r>
      <w:r w:rsidR="00892B6E">
        <w:rPr>
          <w:i/>
        </w:rPr>
        <w:t>X</w:t>
      </w:r>
      <w:r w:rsidR="00996314">
        <w:rPr>
          <w:i/>
        </w:rPr>
        <w:t> </w:t>
      </w:r>
      <w:r w:rsidRPr="000B6220">
        <w:rPr>
          <w:i/>
        </w:rPr>
        <w:t>c.</w:t>
      </w:r>
      <w:r w:rsidR="00892B6E">
        <w:rPr>
          <w:i/>
        </w:rPr>
        <w:t xml:space="preserve"> </w:t>
      </w:r>
      <w:r w:rsidR="000D5D85">
        <w:rPr>
          <w:i/>
        </w:rPr>
        <w:t xml:space="preserve">Allemagne </w:t>
      </w:r>
      <w:r w:rsidRPr="000B6220" w:rsidR="000D5D85">
        <w:t>(n</w:t>
      </w:r>
      <w:r w:rsidRPr="00E40C8E" w:rsidR="000D5D85">
        <w:rPr>
          <w:vertAlign w:val="superscript"/>
        </w:rPr>
        <w:t>o</w:t>
      </w:r>
      <w:r w:rsidRPr="000B6220" w:rsidR="000D5D85">
        <w:t xml:space="preserve"> 7705/76, décision de la Commission d</w:t>
      </w:r>
      <w:r w:rsidR="000D5D85">
        <w:t>u 5 juillet 1977, Décisions et r</w:t>
      </w:r>
      <w:r w:rsidRPr="000B6220" w:rsidR="000D5D85">
        <w:t>apports (DR) 9</w:t>
      </w:r>
      <w:r w:rsidR="000D5D85">
        <w:t>, p. 196)</w:t>
      </w:r>
      <w:r w:rsidRPr="000B6220">
        <w:t>, qui concernait l</w:t>
      </w:r>
      <w:r w:rsidR="002257E9">
        <w:t>’</w:t>
      </w:r>
      <w:r w:rsidRPr="000B6220">
        <w:t xml:space="preserve">objection de conscience élevée par le requérant </w:t>
      </w:r>
      <w:r w:rsidR="00996314">
        <w:t>contre l</w:t>
      </w:r>
      <w:r w:rsidR="002257E9">
        <w:t>’</w:t>
      </w:r>
      <w:r w:rsidR="00996314">
        <w:t>accomplissement</w:t>
      </w:r>
      <w:r w:rsidRPr="000B6220">
        <w:t xml:space="preserve"> du service civil de remplacement Dans l</w:t>
      </w:r>
      <w:r w:rsidR="002257E9">
        <w:t>’</w:t>
      </w:r>
      <w:r w:rsidRPr="000B6220">
        <w:t xml:space="preserve">affaire </w:t>
      </w:r>
      <w:r w:rsidR="000F70A9">
        <w:rPr>
          <w:i/>
        </w:rPr>
        <w:t>O</w:t>
      </w:r>
      <w:r w:rsidRPr="000B6220">
        <w:rPr>
          <w:i/>
        </w:rPr>
        <w:t>bjecteurs de conscience c. Danemark</w:t>
      </w:r>
      <w:r w:rsidRPr="000B6220" w:rsidR="00C87E54">
        <w:rPr>
          <w:i/>
        </w:rPr>
        <w:t xml:space="preserve"> </w:t>
      </w:r>
      <w:r w:rsidRPr="000B6220" w:rsidR="00C87E54">
        <w:t>(n</w:t>
      </w:r>
      <w:r w:rsidRPr="00E40C8E" w:rsidR="00E40C8E">
        <w:rPr>
          <w:vertAlign w:val="superscript"/>
        </w:rPr>
        <w:t>o</w:t>
      </w:r>
      <w:r w:rsidR="00226498">
        <w:rPr>
          <w:vertAlign w:val="superscript"/>
        </w:rPr>
        <w:t> </w:t>
      </w:r>
      <w:r w:rsidRPr="000B6220" w:rsidR="00C87E54">
        <w:t>7565/76, décision de la Commission du 7 mars 1977, DR 9, p. 119)</w:t>
      </w:r>
      <w:r w:rsidRPr="000B6220">
        <w:t xml:space="preserve">, la Commission </w:t>
      </w:r>
      <w:r w:rsidR="00996314">
        <w:t>réaffirma</w:t>
      </w:r>
      <w:r w:rsidRPr="000B6220">
        <w:t xml:space="preserve"> que le droit à l</w:t>
      </w:r>
      <w:r w:rsidR="002257E9">
        <w:t>’</w:t>
      </w:r>
      <w:r w:rsidRPr="000B6220">
        <w:t>objection de conscience ne figurait pas au nombre des droits et libertés garantis par la Convention. Dans l</w:t>
      </w:r>
      <w:r w:rsidR="002257E9">
        <w:t>’</w:t>
      </w:r>
      <w:r w:rsidRPr="000B6220">
        <w:t xml:space="preserve">affaire </w:t>
      </w:r>
      <w:r w:rsidRPr="000B6220">
        <w:rPr>
          <w:i/>
        </w:rPr>
        <w:t>A. c. Suisse</w:t>
      </w:r>
      <w:r w:rsidRPr="000B6220" w:rsidR="002F6521">
        <w:rPr>
          <w:i/>
        </w:rPr>
        <w:t xml:space="preserve"> </w:t>
      </w:r>
      <w:r w:rsidRPr="000B6220" w:rsidR="002F6521">
        <w:t>(n</w:t>
      </w:r>
      <w:r w:rsidRPr="00E40C8E" w:rsidR="00E40C8E">
        <w:rPr>
          <w:vertAlign w:val="superscript"/>
        </w:rPr>
        <w:t>o</w:t>
      </w:r>
      <w:r w:rsidRPr="000B6220" w:rsidR="002F6521">
        <w:t xml:space="preserve"> 10640/83, décision de la Commission du 9 mai 1984, DR 38, p. 219)</w:t>
      </w:r>
      <w:r w:rsidRPr="000B6220">
        <w:t xml:space="preserve">, </w:t>
      </w:r>
      <w:r w:rsidR="00996314">
        <w:t>elle réitéra sa position et ajouta</w:t>
      </w:r>
      <w:r w:rsidRPr="000B6220">
        <w:t xml:space="preserve"> que ni la peine </w:t>
      </w:r>
      <w:r w:rsidR="00996314">
        <w:t>infligée au</w:t>
      </w:r>
      <w:r w:rsidRPr="000B6220">
        <w:t xml:space="preserve"> requérant pour refus d</w:t>
      </w:r>
      <w:r w:rsidR="002257E9">
        <w:t>’</w:t>
      </w:r>
      <w:r w:rsidRPr="000B6220">
        <w:t>accomplir le service militaire ni le fait que la condamnation pénale n</w:t>
      </w:r>
      <w:r w:rsidR="002257E9">
        <w:t>’</w:t>
      </w:r>
      <w:r w:rsidR="00996314">
        <w:t>eû</w:t>
      </w:r>
      <w:r w:rsidRPr="000B6220">
        <w:t>t pas été assortie du sursis ne pouvaient constituer une violation de l</w:t>
      </w:r>
      <w:r w:rsidR="002257E9">
        <w:t>’</w:t>
      </w:r>
      <w:r w:rsidRPr="000B6220">
        <w:t>article 9.</w:t>
      </w:r>
    </w:p>
    <w:p w:rsidRPr="000B6220" w:rsidR="007506E5" w:rsidP="00E05F30" w:rsidRDefault="002F6521">
      <w:pPr>
        <w:pStyle w:val="JuPara"/>
      </w:pPr>
      <w:r w:rsidRPr="000B6220">
        <w:fldChar w:fldCharType="begin"/>
      </w:r>
      <w:r w:rsidRPr="000B6220">
        <w:instrText xml:space="preserve"> SEQ level0 \*arabic </w:instrText>
      </w:r>
      <w:r w:rsidRPr="000B6220">
        <w:fldChar w:fldCharType="separate"/>
      </w:r>
      <w:r w:rsidR="00226498">
        <w:rPr>
          <w:noProof/>
        </w:rPr>
        <w:t>96</w:t>
      </w:r>
      <w:r w:rsidRPr="000B6220">
        <w:fldChar w:fldCharType="end"/>
      </w:r>
      <w:r w:rsidRPr="000B6220">
        <w:t>.  </w:t>
      </w:r>
      <w:r w:rsidRPr="000B6220" w:rsidR="004519B8">
        <w:t xml:space="preserve">La Commission </w:t>
      </w:r>
      <w:r w:rsidR="00996314">
        <w:t>confirma</w:t>
      </w:r>
      <w:r w:rsidRPr="000B6220" w:rsidR="004519B8">
        <w:t xml:space="preserve"> à </w:t>
      </w:r>
      <w:r w:rsidRPr="000B6220">
        <w:t>plusieurs</w:t>
      </w:r>
      <w:r w:rsidRPr="000B6220" w:rsidR="004519B8">
        <w:t xml:space="preserve"> reprises par la suite le constat selon lequel </w:t>
      </w:r>
      <w:r w:rsidRPr="000B6220">
        <w:t>la Convention en tant que telle ne garanti</w:t>
      </w:r>
      <w:r w:rsidR="00996314">
        <w:t>ssai</w:t>
      </w:r>
      <w:r w:rsidRPr="000B6220">
        <w:t xml:space="preserve">t pas </w:t>
      </w:r>
      <w:r w:rsidRPr="000B6220" w:rsidR="004519B8">
        <w:t>le droit à l</w:t>
      </w:r>
      <w:r w:rsidR="002257E9">
        <w:t>’</w:t>
      </w:r>
      <w:r w:rsidRPr="000B6220" w:rsidR="004519B8">
        <w:t>objection de conscience (</w:t>
      </w:r>
      <w:r w:rsidRPr="000B6220" w:rsidR="004519B8">
        <w:rPr>
          <w:i/>
        </w:rPr>
        <w:t>N. c. Suède</w:t>
      </w:r>
      <w:r w:rsidRPr="000B6220" w:rsidR="004519B8">
        <w:t>, n</w:t>
      </w:r>
      <w:r w:rsidRPr="00E40C8E" w:rsidR="00E40C8E">
        <w:rPr>
          <w:vertAlign w:val="superscript"/>
        </w:rPr>
        <w:t>o</w:t>
      </w:r>
      <w:r w:rsidRPr="000B6220" w:rsidR="004519B8">
        <w:t xml:space="preserve"> 10410/83, décision de la Commission du</w:t>
      </w:r>
      <w:r w:rsidRPr="000B6220">
        <w:t xml:space="preserve"> </w:t>
      </w:r>
      <w:r w:rsidR="0011143D">
        <w:t>11 octobre 1984, DR 40, p. 208,</w:t>
      </w:r>
      <w:r w:rsidRPr="000B6220">
        <w:t xml:space="preserve"> voir aussi, </w:t>
      </w:r>
      <w:r w:rsidRPr="000B6220">
        <w:rPr>
          <w:i/>
        </w:rPr>
        <w:t>mutatis mutandis</w:t>
      </w:r>
      <w:r w:rsidRPr="000B6220">
        <w:t xml:space="preserve">, </w:t>
      </w:r>
      <w:r w:rsidRPr="000B6220" w:rsidR="004519B8">
        <w:rPr>
          <w:i/>
        </w:rPr>
        <w:t>Autio c. Finlande</w:t>
      </w:r>
      <w:r w:rsidRPr="000B6220" w:rsidR="004519B8">
        <w:t>, n</w:t>
      </w:r>
      <w:r w:rsidRPr="00E40C8E" w:rsidR="00E40C8E">
        <w:rPr>
          <w:vertAlign w:val="superscript"/>
        </w:rPr>
        <w:t>o</w:t>
      </w:r>
      <w:r w:rsidRPr="000B6220" w:rsidR="004519B8">
        <w:t xml:space="preserve"> 17086/90,</w:t>
      </w:r>
      <w:r w:rsidRPr="000B6220">
        <w:t xml:space="preserve"> décision de la Commission du 6 </w:t>
      </w:r>
      <w:r w:rsidRPr="000B6220" w:rsidR="004519B8">
        <w:t xml:space="preserve">décembre 1991, DR 72, p. 251, et </w:t>
      </w:r>
      <w:r w:rsidRPr="000B6220" w:rsidR="004519B8">
        <w:rPr>
          <w:i/>
        </w:rPr>
        <w:t>Peters</w:t>
      </w:r>
      <w:r w:rsidRPr="000B6220" w:rsidR="004519B8">
        <w:t xml:space="preserve"> et </w:t>
      </w:r>
      <w:r w:rsidRPr="000B6220" w:rsidR="004519B8">
        <w:rPr>
          <w:i/>
        </w:rPr>
        <w:t>Heudens</w:t>
      </w:r>
      <w:r w:rsidR="0011143D">
        <w:t>, décisions</w:t>
      </w:r>
      <w:r w:rsidRPr="000B6220" w:rsidR="004519B8">
        <w:t xml:space="preserve"> précitées).</w:t>
      </w:r>
      <w:r w:rsidRPr="000B6220">
        <w:t xml:space="preserve"> </w:t>
      </w:r>
      <w:r w:rsidRPr="000B6220" w:rsidR="00A9445C">
        <w:t xml:space="preserve">Dans ces affaires, néanmoins, la Commission </w:t>
      </w:r>
      <w:r w:rsidRPr="000B6220" w:rsidR="001F1BBE">
        <w:t>reconnu</w:t>
      </w:r>
      <w:r w:rsidR="00FD1BB8">
        <w:t>t</w:t>
      </w:r>
      <w:r w:rsidRPr="000B6220" w:rsidR="00A9445C">
        <w:t xml:space="preserve"> que, en dépit des principes précités, les faits relevaient du champ d</w:t>
      </w:r>
      <w:r w:rsidR="002257E9">
        <w:t>’</w:t>
      </w:r>
      <w:r w:rsidRPr="000B6220" w:rsidR="00A9445C">
        <w:t>application de l</w:t>
      </w:r>
      <w:r w:rsidR="002257E9">
        <w:t>’</w:t>
      </w:r>
      <w:r w:rsidRPr="000B6220" w:rsidR="00A9445C">
        <w:t>article 9 et qu</w:t>
      </w:r>
      <w:r w:rsidR="002257E9">
        <w:t>’</w:t>
      </w:r>
      <w:r w:rsidRPr="000B6220" w:rsidR="00A9445C">
        <w:t>il y avait</w:t>
      </w:r>
      <w:r w:rsidRPr="000B6220" w:rsidR="001F1BBE">
        <w:t xml:space="preserve"> donc</w:t>
      </w:r>
      <w:r w:rsidRPr="000B6220" w:rsidR="00A9445C">
        <w:t xml:space="preserve"> lieu d</w:t>
      </w:r>
      <w:r w:rsidR="002257E9">
        <w:t>’</w:t>
      </w:r>
      <w:r w:rsidRPr="000B6220" w:rsidR="00A9445C">
        <w:t>examiner les allégations de discrimination formulées par les requérants sous l</w:t>
      </w:r>
      <w:r w:rsidR="002257E9">
        <w:t>’</w:t>
      </w:r>
      <w:r w:rsidRPr="000B6220" w:rsidR="00A9445C">
        <w:t>angle de l</w:t>
      </w:r>
      <w:r w:rsidR="002257E9">
        <w:t>’</w:t>
      </w:r>
      <w:r w:rsidRPr="000B6220" w:rsidR="00A9445C">
        <w:t>article 14 de la Convention.</w:t>
      </w:r>
    </w:p>
    <w:p w:rsidRPr="000B6220" w:rsidR="00A9445C" w:rsidP="00E05F30" w:rsidRDefault="00A9445C">
      <w:pPr>
        <w:pStyle w:val="JuPara"/>
      </w:pPr>
      <w:r w:rsidRPr="000B6220">
        <w:fldChar w:fldCharType="begin"/>
      </w:r>
      <w:r w:rsidRPr="000B6220">
        <w:instrText xml:space="preserve"> SEQ level0 \*arabic </w:instrText>
      </w:r>
      <w:r w:rsidRPr="000B6220">
        <w:fldChar w:fldCharType="separate"/>
      </w:r>
      <w:r w:rsidR="00226498">
        <w:rPr>
          <w:noProof/>
        </w:rPr>
        <w:t>97</w:t>
      </w:r>
      <w:r w:rsidRPr="000B6220">
        <w:fldChar w:fldCharType="end"/>
      </w:r>
      <w:r w:rsidRPr="000B6220">
        <w:t>.  </w:t>
      </w:r>
      <w:r w:rsidRPr="000B6220" w:rsidR="001F1BBE">
        <w:t>La Cour a eu à connaître de la question de la condamnation d</w:t>
      </w:r>
      <w:r w:rsidR="002257E9">
        <w:t>’</w:t>
      </w:r>
      <w:r w:rsidRPr="000B6220" w:rsidR="001F1BBE">
        <w:t xml:space="preserve">objecteurs de conscience dans deux affaires. </w:t>
      </w:r>
      <w:r w:rsidRPr="000B6220">
        <w:t xml:space="preserve">Dans les deux cas, toutefois, </w:t>
      </w:r>
      <w:r w:rsidRPr="000B6220" w:rsidR="001F1BBE">
        <w:t>elle</w:t>
      </w:r>
      <w:r w:rsidRPr="000B6220">
        <w:t xml:space="preserve"> a jugé qu</w:t>
      </w:r>
      <w:r w:rsidR="002257E9">
        <w:t>’</w:t>
      </w:r>
      <w:r w:rsidRPr="000B6220">
        <w:t>il n</w:t>
      </w:r>
      <w:r w:rsidR="002257E9">
        <w:t>’</w:t>
      </w:r>
      <w:r w:rsidRPr="000B6220">
        <w:t xml:space="preserve">y avait </w:t>
      </w:r>
      <w:r w:rsidRPr="000B6220" w:rsidR="001F1BBE">
        <w:t xml:space="preserve">pas </w:t>
      </w:r>
      <w:r w:rsidRPr="000B6220">
        <w:t>lieu qu</w:t>
      </w:r>
      <w:r w:rsidR="002257E9">
        <w:t>’</w:t>
      </w:r>
      <w:r w:rsidRPr="000B6220">
        <w:t>elle se penche sur la question de l</w:t>
      </w:r>
      <w:r w:rsidR="002257E9">
        <w:t>’</w:t>
      </w:r>
      <w:r w:rsidRPr="000B6220">
        <w:t>applicabilité de l</w:t>
      </w:r>
      <w:r w:rsidR="002257E9">
        <w:t>’</w:t>
      </w:r>
      <w:r w:rsidRPr="000B6220">
        <w:t xml:space="preserve">article 9 et a décidé </w:t>
      </w:r>
      <w:r w:rsidRPr="000B6220" w:rsidR="001F1BBE">
        <w:t>d</w:t>
      </w:r>
      <w:r w:rsidR="002257E9">
        <w:t>’</w:t>
      </w:r>
      <w:r w:rsidRPr="000B6220">
        <w:t xml:space="preserve">examiner </w:t>
      </w:r>
      <w:r w:rsidRPr="000B6220" w:rsidR="001F1BBE">
        <w:t xml:space="preserve">les griefs </w:t>
      </w:r>
      <w:r w:rsidRPr="000B6220">
        <w:t>sous l</w:t>
      </w:r>
      <w:r w:rsidR="002257E9">
        <w:t>’</w:t>
      </w:r>
      <w:r w:rsidRPr="000B6220">
        <w:t>angle d</w:t>
      </w:r>
      <w:r w:rsidR="002257E9">
        <w:t>’</w:t>
      </w:r>
      <w:r w:rsidRPr="000B6220">
        <w:t>autres dispositions de la Convention, à savoir les articles 14 et 3</w:t>
      </w:r>
      <w:r w:rsidRPr="000B6220" w:rsidR="001F1BBE">
        <w:t xml:space="preserve"> respectivement</w:t>
      </w:r>
      <w:r w:rsidRPr="000B6220">
        <w:t xml:space="preserve"> (</w:t>
      </w:r>
      <w:r w:rsidRPr="000B6220">
        <w:rPr>
          <w:i/>
        </w:rPr>
        <w:t>Thlimmenos</w:t>
      </w:r>
      <w:r w:rsidRPr="000B6220">
        <w:t xml:space="preserve">, précité, §§ 43 et 53, et </w:t>
      </w:r>
      <w:r w:rsidRPr="000B6220">
        <w:rPr>
          <w:i/>
        </w:rPr>
        <w:t>Ülke</w:t>
      </w:r>
      <w:r w:rsidR="0011143D">
        <w:t>, précité, §§ 53–54 et 63–</w:t>
      </w:r>
      <w:r w:rsidRPr="000B6220">
        <w:t>64).</w:t>
      </w:r>
    </w:p>
    <w:p w:rsidRPr="000B6220" w:rsidR="00E71F66" w:rsidP="00E05F30" w:rsidRDefault="00C058C8">
      <w:pPr>
        <w:pStyle w:val="JuHa0"/>
      </w:pPr>
      <w:r w:rsidRPr="000B6220">
        <w:t>b</w:t>
      </w:r>
      <w:r w:rsidRPr="000B6220" w:rsidR="00E71F66">
        <w:t>)  Sur la nécessité éventuelle de modifier la jurisprudence</w:t>
      </w:r>
    </w:p>
    <w:p w:rsidRPr="000B6220" w:rsidR="00C058C8" w:rsidP="00E05F30" w:rsidRDefault="00C058C8">
      <w:pPr>
        <w:pStyle w:val="JuPara"/>
      </w:pPr>
      <w:r w:rsidRPr="000B6220">
        <w:fldChar w:fldCharType="begin"/>
      </w:r>
      <w:r w:rsidRPr="000B6220">
        <w:instrText xml:space="preserve"> SEQ level0 \*arabic </w:instrText>
      </w:r>
      <w:r w:rsidRPr="000B6220">
        <w:fldChar w:fldCharType="separate"/>
      </w:r>
      <w:r w:rsidR="00226498">
        <w:rPr>
          <w:noProof/>
        </w:rPr>
        <w:t>98</w:t>
      </w:r>
      <w:r w:rsidRPr="000B6220">
        <w:fldChar w:fldCharType="end"/>
      </w:r>
      <w:r w:rsidRPr="000B6220">
        <w:t>.  </w:t>
      </w:r>
      <w:r w:rsidRPr="000B6220" w:rsidR="001F1BBE">
        <w:t>I</w:t>
      </w:r>
      <w:r w:rsidRPr="000B6220" w:rsidR="00D36307">
        <w:t xml:space="preserve">l est </w:t>
      </w:r>
      <w:r w:rsidRPr="000B6220" w:rsidR="001F1BBE">
        <w:t xml:space="preserve">certes </w:t>
      </w:r>
      <w:r w:rsidRPr="000B6220" w:rsidR="00D36307">
        <w:t>dans l</w:t>
      </w:r>
      <w:r w:rsidR="002257E9">
        <w:t>’</w:t>
      </w:r>
      <w:r w:rsidRPr="000B6220" w:rsidR="00D36307">
        <w:t xml:space="preserve">intérêt de la sécurité juridique, de la prévisibilité </w:t>
      </w:r>
      <w:r w:rsidR="00D410EC">
        <w:t xml:space="preserve">du droit </w:t>
      </w:r>
      <w:r w:rsidRPr="000B6220" w:rsidR="00D36307">
        <w:t>et de l</w:t>
      </w:r>
      <w:r w:rsidR="002257E9">
        <w:t>’</w:t>
      </w:r>
      <w:r w:rsidRPr="000B6220" w:rsidR="00D36307">
        <w:t>égalité devant la loi que la Cour ne s</w:t>
      </w:r>
      <w:r w:rsidR="002257E9">
        <w:t>’</w:t>
      </w:r>
      <w:r w:rsidRPr="000B6220" w:rsidR="00D36307">
        <w:t xml:space="preserve">écarte pas sans motif valable de ses précédents ; toutefois, </w:t>
      </w:r>
      <w:r w:rsidR="00D410EC">
        <w:t>l</w:t>
      </w:r>
      <w:r w:rsidR="002257E9">
        <w:t>’</w:t>
      </w:r>
      <w:r w:rsidR="00D410EC">
        <w:t>abandon par elle d</w:t>
      </w:r>
      <w:r w:rsidR="002257E9">
        <w:t>’</w:t>
      </w:r>
      <w:r w:rsidRPr="000B6220" w:rsidR="00D36307">
        <w:t>une approche dynamique et évolutive</w:t>
      </w:r>
      <w:r w:rsidR="00D410EC">
        <w:t xml:space="preserve"> </w:t>
      </w:r>
      <w:r w:rsidRPr="000B6220" w:rsidR="00D36307">
        <w:t>risquerait de faire obstacle à toute réforme ou amélioration (</w:t>
      </w:r>
      <w:r w:rsidRPr="000B6220" w:rsidR="00D36307">
        <w:rPr>
          <w:i/>
          <w:szCs w:val="24"/>
        </w:rPr>
        <w:t>Vilho Eskelinen et autres c. Finlande</w:t>
      </w:r>
      <w:r w:rsidRPr="000B6220" w:rsidR="00D36307">
        <w:rPr>
          <w:szCs w:val="24"/>
        </w:rPr>
        <w:t xml:space="preserve"> [GC], n</w:t>
      </w:r>
      <w:r w:rsidRPr="000B6220" w:rsidR="00D36307">
        <w:rPr>
          <w:szCs w:val="24"/>
          <w:vertAlign w:val="superscript"/>
        </w:rPr>
        <w:t>o</w:t>
      </w:r>
      <w:r w:rsidR="003474FE">
        <w:rPr>
          <w:szCs w:val="24"/>
        </w:rPr>
        <w:t xml:space="preserve"> </w:t>
      </w:r>
      <w:r w:rsidRPr="000B6220" w:rsidR="00D36307">
        <w:rPr>
          <w:szCs w:val="24"/>
        </w:rPr>
        <w:t xml:space="preserve">63235/00, § 56, </w:t>
      </w:r>
      <w:r w:rsidR="003474FE">
        <w:t>CEDH 2007</w:t>
      </w:r>
      <w:r w:rsidR="003474FE">
        <w:noBreakHyphen/>
        <w:t>II</w:t>
      </w:r>
      <w:r w:rsidRPr="000B6220" w:rsidR="00D36307">
        <w:t xml:space="preserve">, et </w:t>
      </w:r>
      <w:r w:rsidRPr="000B6220" w:rsidR="00D36307">
        <w:rPr>
          <w:i/>
        </w:rPr>
        <w:t>Micallef c. Malte</w:t>
      </w:r>
      <w:r w:rsidRPr="000B6220" w:rsidR="00D36307">
        <w:t xml:space="preserve"> [GC], n</w:t>
      </w:r>
      <w:r w:rsidRPr="000B6220" w:rsidR="00D36307">
        <w:rPr>
          <w:vertAlign w:val="superscript"/>
        </w:rPr>
        <w:t>o</w:t>
      </w:r>
      <w:r w:rsidRPr="000B6220" w:rsidR="00D36307">
        <w:t xml:space="preserve"> 17056/06</w:t>
      </w:r>
      <w:r w:rsidRPr="000B6220" w:rsidR="00D36307">
        <w:rPr>
          <w:szCs w:val="24"/>
        </w:rPr>
        <w:t xml:space="preserve">, § 81, </w:t>
      </w:r>
      <w:r w:rsidRPr="000B6220" w:rsidR="00D36307">
        <w:t>CEDH 2009). Il est d</w:t>
      </w:r>
      <w:r w:rsidR="002257E9">
        <w:t>’</w:t>
      </w:r>
      <w:r w:rsidRPr="000B6220" w:rsidR="00D36307">
        <w:t>une importance cruciale que la Convention soit interprétée et appliquée d</w:t>
      </w:r>
      <w:r w:rsidR="002257E9">
        <w:t>’</w:t>
      </w:r>
      <w:r w:rsidRPr="000B6220" w:rsidR="00D36307">
        <w:t>une manière qui en rende les droits pratiques et effectifs, et non théoriques et illusoires (</w:t>
      </w:r>
      <w:r w:rsidRPr="000B6220" w:rsidR="00A10534">
        <w:rPr>
          <w:i/>
        </w:rPr>
        <w:t>Stafford c. Royaume-Uni</w:t>
      </w:r>
      <w:r w:rsidRPr="000B6220" w:rsidR="00A10534">
        <w:t xml:space="preserve"> [GC], n</w:t>
      </w:r>
      <w:r w:rsidRPr="000B6220" w:rsidR="00A10534">
        <w:rPr>
          <w:vertAlign w:val="superscript"/>
        </w:rPr>
        <w:t>o</w:t>
      </w:r>
      <w:r w:rsidR="00D410EC">
        <w:t xml:space="preserve"> 46295/99, § </w:t>
      </w:r>
      <w:r w:rsidR="003474FE">
        <w:t>68, CEDH 2002-</w:t>
      </w:r>
      <w:r w:rsidRPr="000B6220" w:rsidR="00A10534">
        <w:t xml:space="preserve">IV, et </w:t>
      </w:r>
      <w:r w:rsidRPr="000B6220" w:rsidR="00A10534">
        <w:rPr>
          <w:i/>
        </w:rPr>
        <w:t>Christine Goodwin c. Royaume-Uni</w:t>
      </w:r>
      <w:r w:rsidRPr="000B6220" w:rsidR="00A10534">
        <w:t xml:space="preserve"> [GC], n</w:t>
      </w:r>
      <w:r w:rsidRPr="000B6220" w:rsidR="00A10534">
        <w:rPr>
          <w:vertAlign w:val="superscript"/>
        </w:rPr>
        <w:t>o</w:t>
      </w:r>
      <w:r w:rsidR="003474FE">
        <w:t xml:space="preserve"> </w:t>
      </w:r>
      <w:r w:rsidR="001209BC">
        <w:t>28957/95, § 74, CEDH 2002-</w:t>
      </w:r>
      <w:r w:rsidRPr="000B6220" w:rsidR="00A10534">
        <w:t>VI).</w:t>
      </w:r>
    </w:p>
    <w:p w:rsidRPr="000B6220" w:rsidR="00A10534" w:rsidP="00E05F30" w:rsidRDefault="00A10534">
      <w:pPr>
        <w:pStyle w:val="JuPara"/>
      </w:pPr>
      <w:r w:rsidRPr="000B6220">
        <w:fldChar w:fldCharType="begin"/>
      </w:r>
      <w:r w:rsidRPr="000B6220">
        <w:instrText xml:space="preserve"> SEQ level0 \*arabic </w:instrText>
      </w:r>
      <w:r w:rsidRPr="000B6220">
        <w:fldChar w:fldCharType="separate"/>
      </w:r>
      <w:r w:rsidR="00226498">
        <w:rPr>
          <w:noProof/>
        </w:rPr>
        <w:t>99</w:t>
      </w:r>
      <w:r w:rsidRPr="000B6220">
        <w:fldChar w:fldCharType="end"/>
      </w:r>
      <w:r w:rsidRPr="000B6220">
        <w:t>.  </w:t>
      </w:r>
      <w:r w:rsidRPr="000B6220" w:rsidR="008C059A">
        <w:t>La Cour observe qu</w:t>
      </w:r>
      <w:r w:rsidR="002257E9">
        <w:t>’</w:t>
      </w:r>
      <w:r w:rsidRPr="000B6220" w:rsidR="008C059A">
        <w:t>elle n</w:t>
      </w:r>
      <w:r w:rsidR="002257E9">
        <w:t>’</w:t>
      </w:r>
      <w:r w:rsidRPr="000B6220" w:rsidR="008C059A">
        <w:t>a jamais</w:t>
      </w:r>
      <w:r w:rsidR="00BA77C8">
        <w:t>,</w:t>
      </w:r>
      <w:r w:rsidRPr="000B6220" w:rsidR="008C059A">
        <w:t xml:space="preserve"> </w:t>
      </w:r>
      <w:r w:rsidR="00571C5C">
        <w:t>avant la présente affaire</w:t>
      </w:r>
      <w:r w:rsidR="00BA77C8">
        <w:t>,</w:t>
      </w:r>
      <w:r w:rsidR="00571C5C">
        <w:t xml:space="preserve"> </w:t>
      </w:r>
      <w:r w:rsidRPr="000B6220" w:rsidR="008C059A">
        <w:t>statué sur la question de l</w:t>
      </w:r>
      <w:r w:rsidR="002257E9">
        <w:t>’</w:t>
      </w:r>
      <w:r w:rsidRPr="000B6220" w:rsidR="008C059A">
        <w:t>applicabilité de l</w:t>
      </w:r>
      <w:r w:rsidR="002257E9">
        <w:t>’</w:t>
      </w:r>
      <w:r w:rsidRPr="000B6220" w:rsidR="008C059A">
        <w:t>article 9 aux objecteurs de conscience, contrairement à la Commission, qui s</w:t>
      </w:r>
      <w:r w:rsidR="002257E9">
        <w:t>’</w:t>
      </w:r>
      <w:r w:rsidR="00BA77C8">
        <w:t>était prononcée pour la non</w:t>
      </w:r>
      <w:r w:rsidR="00BA77C8">
        <w:noBreakHyphen/>
      </w:r>
      <w:r w:rsidRPr="000B6220" w:rsidR="008C059A">
        <w:t xml:space="preserve">applicabilité de cette disposition à ces personnes. </w:t>
      </w:r>
      <w:r w:rsidRPr="000B6220" w:rsidR="001F1BBE">
        <w:t>La</w:t>
      </w:r>
      <w:r w:rsidRPr="000B6220" w:rsidR="008C059A">
        <w:t xml:space="preserve"> Commission </w:t>
      </w:r>
      <w:r w:rsidR="00BA77C8">
        <w:t>était</w:t>
      </w:r>
      <w:r w:rsidRPr="000B6220" w:rsidR="001F1BBE">
        <w:t xml:space="preserve"> parvenue à cette conclusion après avoir </w:t>
      </w:r>
      <w:r w:rsidRPr="000B6220" w:rsidR="008C059A">
        <w:t>établi un lien entre l</w:t>
      </w:r>
      <w:r w:rsidR="002257E9">
        <w:t>’</w:t>
      </w:r>
      <w:r w:rsidRPr="000B6220" w:rsidR="008C059A">
        <w:t>article 9 et l</w:t>
      </w:r>
      <w:r w:rsidR="002257E9">
        <w:t>’</w:t>
      </w:r>
      <w:r w:rsidRPr="000B6220" w:rsidR="008C059A">
        <w:t>article 4 § 3 b) de la Convention, considérant que ce dernier laissait aux Parties contractantes le choix de reconnaître ou non le droit à l</w:t>
      </w:r>
      <w:r w:rsidR="002257E9">
        <w:t>’</w:t>
      </w:r>
      <w:r w:rsidRPr="000B6220" w:rsidR="008C059A">
        <w:t xml:space="preserve">objection de conscience. </w:t>
      </w:r>
      <w:r w:rsidRPr="000B6220" w:rsidR="001F1BBE">
        <w:t>La Commission a</w:t>
      </w:r>
      <w:r w:rsidR="00BA77C8">
        <w:t>vait</w:t>
      </w:r>
      <w:r w:rsidRPr="000B6220" w:rsidR="001F1BBE">
        <w:t xml:space="preserve"> donc estimé </w:t>
      </w:r>
      <w:r w:rsidRPr="000B6220" w:rsidR="008C059A">
        <w:t>que les objecteurs de conscience étaient exclus de la protection de l</w:t>
      </w:r>
      <w:r w:rsidR="002257E9">
        <w:t>’</w:t>
      </w:r>
      <w:r w:rsidRPr="000B6220" w:rsidR="008C059A">
        <w:t xml:space="preserve">article 9, lequel ne </w:t>
      </w:r>
      <w:r w:rsidRPr="000B6220" w:rsidR="001F1BBE">
        <w:t>pouvait</w:t>
      </w:r>
      <w:r w:rsidRPr="000B6220" w:rsidR="008C059A">
        <w:t xml:space="preserve"> être interprété comme garantissant le droit de ne pas être poursuivi pour un refus de servir dans l</w:t>
      </w:r>
      <w:r w:rsidR="002257E9">
        <w:t>’</w:t>
      </w:r>
      <w:r w:rsidRPr="000B6220" w:rsidR="008C059A">
        <w:t>armée.</w:t>
      </w:r>
    </w:p>
    <w:p w:rsidRPr="000B6220" w:rsidR="00994265" w:rsidP="00E05F30" w:rsidRDefault="008C059A">
      <w:pPr>
        <w:pStyle w:val="JuPara"/>
      </w:pPr>
      <w:r w:rsidRPr="000B6220">
        <w:fldChar w:fldCharType="begin"/>
      </w:r>
      <w:r w:rsidRPr="000B6220">
        <w:instrText xml:space="preserve"> SEQ level0 \*arabic </w:instrText>
      </w:r>
      <w:r w:rsidRPr="000B6220">
        <w:fldChar w:fldCharType="separate"/>
      </w:r>
      <w:r w:rsidR="00226498">
        <w:rPr>
          <w:noProof/>
        </w:rPr>
        <w:t>100</w:t>
      </w:r>
      <w:r w:rsidRPr="000B6220">
        <w:fldChar w:fldCharType="end"/>
      </w:r>
      <w:r w:rsidRPr="000B6220">
        <w:t>.  </w:t>
      </w:r>
      <w:r w:rsidR="00721241">
        <w:t>L</w:t>
      </w:r>
      <w:r w:rsidRPr="000B6220">
        <w:t xml:space="preserve">a Cour </w:t>
      </w:r>
      <w:r w:rsidR="00721241">
        <w:t>n</w:t>
      </w:r>
      <w:r w:rsidR="002257E9">
        <w:t>’</w:t>
      </w:r>
      <w:r w:rsidR="00721241">
        <w:t>est toutefois pas c</w:t>
      </w:r>
      <w:r w:rsidR="00EB271E">
        <w:t xml:space="preserve">onvaincue </w:t>
      </w:r>
      <w:r w:rsidR="00721241">
        <w:t xml:space="preserve">que cette </w:t>
      </w:r>
      <w:r w:rsidRPr="000B6220">
        <w:t>interprétation de l</w:t>
      </w:r>
      <w:r w:rsidR="002257E9">
        <w:t>’</w:t>
      </w:r>
      <w:r w:rsidR="009E6256">
        <w:t>article </w:t>
      </w:r>
      <w:r w:rsidRPr="000B6220">
        <w:t xml:space="preserve">4 § 3 b) reflète </w:t>
      </w:r>
      <w:r w:rsidRPr="000B6220" w:rsidR="005E7B6F">
        <w:t xml:space="preserve">véritablement </w:t>
      </w:r>
      <w:r w:rsidRPr="000B6220">
        <w:t xml:space="preserve">le but et le sens de </w:t>
      </w:r>
      <w:r w:rsidR="00721241">
        <w:t>la</w:t>
      </w:r>
      <w:r w:rsidRPr="000B6220">
        <w:t xml:space="preserve"> disposition</w:t>
      </w:r>
      <w:r w:rsidR="00721241">
        <w:t xml:space="preserve"> en cause</w:t>
      </w:r>
      <w:r w:rsidRPr="000B6220">
        <w:t xml:space="preserve">. Elle note que </w:t>
      </w:r>
      <w:r w:rsidRPr="000B6220" w:rsidR="005E7B6F">
        <w:t>l</w:t>
      </w:r>
      <w:r w:rsidR="002257E9">
        <w:t>’</w:t>
      </w:r>
      <w:r w:rsidRPr="000B6220" w:rsidR="005E7B6F">
        <w:t>article 4 § 3 b)</w:t>
      </w:r>
      <w:r w:rsidRPr="000B6220" w:rsidR="001F1BBE">
        <w:t xml:space="preserve"> </w:t>
      </w:r>
      <w:r w:rsidRPr="000B6220" w:rsidR="005E7B6F">
        <w:t xml:space="preserve">précise </w:t>
      </w:r>
      <w:r w:rsidRPr="000B6220" w:rsidR="00994265">
        <w:t xml:space="preserve">que </w:t>
      </w:r>
      <w:r w:rsidRPr="000B6220" w:rsidR="005E7B6F">
        <w:t>n</w:t>
      </w:r>
      <w:r w:rsidR="002257E9">
        <w:t>’</w:t>
      </w:r>
      <w:r w:rsidRPr="000B6220" w:rsidR="005E7B6F">
        <w:t xml:space="preserve">est pas considéré comme </w:t>
      </w:r>
      <w:r w:rsidRPr="000B6220" w:rsidR="001F1BBE">
        <w:t>« travail forcé ou obligatoire » – interdit par l</w:t>
      </w:r>
      <w:r w:rsidR="002257E9">
        <w:t>’</w:t>
      </w:r>
      <w:r w:rsidRPr="000B6220" w:rsidR="001F1BBE">
        <w:t>article 4</w:t>
      </w:r>
      <w:r w:rsidRPr="000B6220" w:rsidR="000B6220">
        <w:t xml:space="preserve"> § 2</w:t>
      </w:r>
      <w:r w:rsidRPr="000B6220" w:rsidR="001F1BBE">
        <w:t xml:space="preserve"> – </w:t>
      </w:r>
      <w:r w:rsidRPr="000B6220" w:rsidR="005E7B6F">
        <w:t>« </w:t>
      </w:r>
      <w:r w:rsidRPr="000B6220" w:rsidR="00994265">
        <w:t>tout service de caractère militaire ou, dans le cas d</w:t>
      </w:r>
      <w:r w:rsidR="002257E9">
        <w:t>’</w:t>
      </w:r>
      <w:r w:rsidRPr="000B6220" w:rsidR="00994265">
        <w:t>objecteurs de conscience dans les pays où l</w:t>
      </w:r>
      <w:r w:rsidR="002257E9">
        <w:t>’</w:t>
      </w:r>
      <w:r w:rsidRPr="000B6220" w:rsidR="00994265">
        <w:t xml:space="preserve">objection de conscience est reconnue comme légitime, un autre service à la place du service militaire obligatoire ». </w:t>
      </w:r>
      <w:r w:rsidR="00EB271E">
        <w:t xml:space="preserve">Elle relève par ailleurs à cet égard </w:t>
      </w:r>
      <w:r w:rsidR="00FB6302">
        <w:t>que les t</w:t>
      </w:r>
      <w:r w:rsidRPr="000B6220" w:rsidR="00994265">
        <w:t xml:space="preserve">ravaux préparatoires </w:t>
      </w:r>
      <w:r w:rsidRPr="000B6220" w:rsidR="001F1BBE">
        <w:t>de</w:t>
      </w:r>
      <w:r w:rsidRPr="000B6220" w:rsidR="00994265">
        <w:t xml:space="preserve"> l</w:t>
      </w:r>
      <w:r w:rsidR="002257E9">
        <w:t>’</w:t>
      </w:r>
      <w:r w:rsidRPr="000B6220" w:rsidR="00994265">
        <w:t xml:space="preserve">article </w:t>
      </w:r>
      <w:r w:rsidRPr="000B6220" w:rsidR="00666D1D">
        <w:t xml:space="preserve">4 </w:t>
      </w:r>
      <w:r w:rsidRPr="000B6220" w:rsidR="00994265">
        <w:t>indiquent au paragraphe 23 : « </w:t>
      </w:r>
      <w:r w:rsidRPr="000B6220" w:rsidR="001F1BBE">
        <w:t>[l]</w:t>
      </w:r>
      <w:r w:rsidR="002257E9">
        <w:t>’</w:t>
      </w:r>
      <w:r w:rsidRPr="000B6220" w:rsidR="00FE78A0">
        <w:t>alinéa [b)] relatif aux objecteurs de conscience a pour objet de préciser que tout service national exigé des objecteurs de conscience en vertu de la loi est exclu de la définition</w:t>
      </w:r>
      <w:r w:rsidRPr="000B6220" w:rsidR="001F1BBE">
        <w:t xml:space="preserve"> du travail forcé ou obligatoire</w:t>
      </w:r>
      <w:r w:rsidRPr="000B6220" w:rsidR="00FE78A0">
        <w:t>. Comme beaucoup de pays n</w:t>
      </w:r>
      <w:r w:rsidR="002257E9">
        <w:t>’</w:t>
      </w:r>
      <w:r w:rsidRPr="000B6220" w:rsidR="00FE78A0">
        <w:t>admettent pas l</w:t>
      </w:r>
      <w:r w:rsidR="002257E9">
        <w:t>’</w:t>
      </w:r>
      <w:r w:rsidRPr="000B6220" w:rsidR="00FE78A0">
        <w:t>objection de con</w:t>
      </w:r>
      <w:r w:rsidRPr="000B6220" w:rsidR="00666D1D">
        <w:t>science, on a ajouté les mots « </w:t>
      </w:r>
      <w:r w:rsidRPr="000B6220" w:rsidR="00FE78A0">
        <w:t>dans les pays où l</w:t>
      </w:r>
      <w:r w:rsidR="002257E9">
        <w:t>’</w:t>
      </w:r>
      <w:r w:rsidRPr="000B6220" w:rsidR="00FE78A0">
        <w:t xml:space="preserve">objection de conscience est admise » ». Pour la Cour, </w:t>
      </w:r>
      <w:r w:rsidR="00571C5C">
        <w:t>les</w:t>
      </w:r>
      <w:r w:rsidR="00FB6302">
        <w:t xml:space="preserve"> t</w:t>
      </w:r>
      <w:r w:rsidRPr="000B6220" w:rsidR="00FE78A0">
        <w:t xml:space="preserve">ravaux préparatoires </w:t>
      </w:r>
      <w:r w:rsidR="00571C5C">
        <w:t xml:space="preserve">confirment </w:t>
      </w:r>
      <w:r w:rsidRPr="000B6220" w:rsidR="00FE78A0">
        <w:t>que l</w:t>
      </w:r>
      <w:r w:rsidR="002257E9">
        <w:t>’</w:t>
      </w:r>
      <w:r w:rsidRPr="000B6220" w:rsidR="00FE78A0">
        <w:t>alinéa b) de l</w:t>
      </w:r>
      <w:r w:rsidR="002257E9">
        <w:t>’</w:t>
      </w:r>
      <w:r w:rsidRPr="000B6220" w:rsidR="001F1BBE">
        <w:t>article</w:t>
      </w:r>
      <w:r w:rsidR="00C27424">
        <w:t xml:space="preserve"> 4 § </w:t>
      </w:r>
      <w:r w:rsidRPr="000B6220" w:rsidR="00FE78A0">
        <w:t xml:space="preserve">3 </w:t>
      </w:r>
      <w:r w:rsidRPr="000B6220" w:rsidR="001F1BBE">
        <w:t xml:space="preserve">a pour seul but de </w:t>
      </w:r>
      <w:r w:rsidR="009E6256">
        <w:t>préciser</w:t>
      </w:r>
      <w:r w:rsidRPr="000B6220" w:rsidR="001F1BBE">
        <w:t xml:space="preserve"> </w:t>
      </w:r>
      <w:r w:rsidRPr="000B6220" w:rsidR="00FE78A0">
        <w:t>la notion de</w:t>
      </w:r>
      <w:r w:rsidRPr="000B6220" w:rsidR="000B6220">
        <w:t xml:space="preserve"> « travail forcé ou obligatoire</w:t>
      </w:r>
      <w:r w:rsidRPr="000B6220" w:rsidR="00FE78A0">
        <w:t> ». Cette clause en soi ne reconnaît ni n</w:t>
      </w:r>
      <w:r w:rsidR="002257E9">
        <w:t>’</w:t>
      </w:r>
      <w:r w:rsidRPr="000B6220" w:rsidR="00FE78A0">
        <w:t>exclut le droit à l</w:t>
      </w:r>
      <w:r w:rsidR="002257E9">
        <w:t>’</w:t>
      </w:r>
      <w:r w:rsidRPr="000B6220" w:rsidR="00FE78A0">
        <w:t>objection de conscience</w:t>
      </w:r>
      <w:r w:rsidRPr="000B6220" w:rsidR="00733FBB">
        <w:t> ; elle ne saurait donc servir à délimiter les droits garantis par l</w:t>
      </w:r>
      <w:r w:rsidR="002257E9">
        <w:t>’</w:t>
      </w:r>
      <w:r w:rsidRPr="000B6220" w:rsidR="00733FBB">
        <w:t>article 9.</w:t>
      </w:r>
    </w:p>
    <w:p w:rsidRPr="000B6220" w:rsidR="00733FBB" w:rsidP="00E05F30" w:rsidRDefault="00733FBB">
      <w:pPr>
        <w:pStyle w:val="JuPara"/>
      </w:pPr>
      <w:r w:rsidRPr="000B6220">
        <w:fldChar w:fldCharType="begin"/>
      </w:r>
      <w:r w:rsidRPr="000B6220">
        <w:instrText xml:space="preserve"> SEQ level0 \*arabic </w:instrText>
      </w:r>
      <w:r w:rsidRPr="000B6220">
        <w:fldChar w:fldCharType="separate"/>
      </w:r>
      <w:r w:rsidR="00226498">
        <w:rPr>
          <w:noProof/>
        </w:rPr>
        <w:t>101</w:t>
      </w:r>
      <w:r w:rsidRPr="000B6220">
        <w:fldChar w:fldCharType="end"/>
      </w:r>
      <w:r w:rsidRPr="000B6220">
        <w:t>.  </w:t>
      </w:r>
      <w:r w:rsidR="00721241">
        <w:t>Par ailleurs</w:t>
      </w:r>
      <w:r w:rsidRPr="000B6220">
        <w:t>, l</w:t>
      </w:r>
      <w:r w:rsidR="002257E9">
        <w:t>’</w:t>
      </w:r>
      <w:r w:rsidRPr="000B6220">
        <w:t>interprétation restrictive de l</w:t>
      </w:r>
      <w:r w:rsidR="002257E9">
        <w:t>’</w:t>
      </w:r>
      <w:r w:rsidRPr="000B6220">
        <w:t xml:space="preserve">article 9 </w:t>
      </w:r>
      <w:r w:rsidR="00721241">
        <w:t>retenue par</w:t>
      </w:r>
      <w:r w:rsidRPr="000B6220">
        <w:t xml:space="preserve"> la Commission </w:t>
      </w:r>
      <w:r w:rsidR="000B6220">
        <w:t>reflète</w:t>
      </w:r>
      <w:r w:rsidRPr="000B6220" w:rsidR="00AA4433">
        <w:t xml:space="preserve"> l</w:t>
      </w:r>
      <w:r w:rsidRPr="000B6220">
        <w:t xml:space="preserve">es opinions </w:t>
      </w:r>
      <w:r w:rsidRPr="000B6220" w:rsidR="00666D1D">
        <w:t xml:space="preserve">qui </w:t>
      </w:r>
      <w:r w:rsidRPr="000B6220">
        <w:t>préval</w:t>
      </w:r>
      <w:r w:rsidRPr="000B6220" w:rsidR="00666D1D">
        <w:t>ai</w:t>
      </w:r>
      <w:r w:rsidRPr="000B6220">
        <w:t>ent à l</w:t>
      </w:r>
      <w:r w:rsidR="002257E9">
        <w:t>’</w:t>
      </w:r>
      <w:r w:rsidRPr="000B6220">
        <w:t xml:space="preserve">époque. Or de nombreuses années se sont écoulées depuis que la Commission a exposé pour la première fois </w:t>
      </w:r>
      <w:r w:rsidRPr="000B6220" w:rsidR="00AA4433">
        <w:t>son</w:t>
      </w:r>
      <w:r w:rsidRPr="000B6220">
        <w:t xml:space="preserve"> raisonnement excluant le droit à l</w:t>
      </w:r>
      <w:r w:rsidR="002257E9">
        <w:t>’</w:t>
      </w:r>
      <w:r w:rsidRPr="000B6220">
        <w:t>objection de conscience du champ d</w:t>
      </w:r>
      <w:r w:rsidR="002257E9">
        <w:t>’</w:t>
      </w:r>
      <w:r w:rsidRPr="000B6220">
        <w:t>application de l</w:t>
      </w:r>
      <w:r w:rsidR="002257E9">
        <w:t>’</w:t>
      </w:r>
      <w:r w:rsidRPr="000B6220">
        <w:t xml:space="preserve">article 9 dans le cadre des affaires </w:t>
      </w:r>
      <w:r w:rsidRPr="000B6220">
        <w:rPr>
          <w:i/>
        </w:rPr>
        <w:t>Grandrath</w:t>
      </w:r>
      <w:r w:rsidR="00D600A2">
        <w:rPr>
          <w:i/>
        </w:rPr>
        <w:t xml:space="preserve"> </w:t>
      </w:r>
      <w:r w:rsidRPr="000B6220">
        <w:t xml:space="preserve">et </w:t>
      </w:r>
      <w:r w:rsidR="003474FE">
        <w:rPr>
          <w:i/>
        </w:rPr>
        <w:t>G.Z</w:t>
      </w:r>
      <w:r w:rsidR="00C27424">
        <w:rPr>
          <w:i/>
        </w:rPr>
        <w:t xml:space="preserve">. c. </w:t>
      </w:r>
      <w:r w:rsidR="003474FE">
        <w:rPr>
          <w:i/>
        </w:rPr>
        <w:t>Autriche</w:t>
      </w:r>
      <w:r w:rsidRPr="003474FE" w:rsidR="003474FE">
        <w:t>,</w:t>
      </w:r>
      <w:r w:rsidR="003474FE">
        <w:rPr>
          <w:i/>
        </w:rPr>
        <w:t xml:space="preserve"> </w:t>
      </w:r>
      <w:r w:rsidRPr="003474FE" w:rsidR="003474FE">
        <w:t>précitées</w:t>
      </w:r>
      <w:r w:rsidRPr="000B6220">
        <w:t xml:space="preserve">. </w:t>
      </w:r>
      <w:r w:rsidRPr="000B6220" w:rsidR="00666D1D">
        <w:t xml:space="preserve">Même si la Commission a confirmé ce raisonnement à plusieurs reprises par la suite, sa dernière décision en la matière remonte à 1995. Des changements importants se sont produits </w:t>
      </w:r>
      <w:r w:rsidR="000B6220">
        <w:t>depuis lors</w:t>
      </w:r>
      <w:r w:rsidR="009E6256">
        <w:t>,</w:t>
      </w:r>
      <w:r w:rsidR="000B6220">
        <w:t xml:space="preserve"> </w:t>
      </w:r>
      <w:r w:rsidRPr="000B6220" w:rsidR="00666D1D">
        <w:t>tant dans les systèmes juridiques des Etats membres du Conseil de l</w:t>
      </w:r>
      <w:r w:rsidR="002257E9">
        <w:t>’</w:t>
      </w:r>
      <w:r w:rsidRPr="000B6220" w:rsidR="00666D1D">
        <w:t>Europe que sur le plan international.</w:t>
      </w:r>
    </w:p>
    <w:p w:rsidRPr="000B6220" w:rsidR="00666D1D" w:rsidP="00E05F30" w:rsidRDefault="00666D1D">
      <w:pPr>
        <w:pStyle w:val="JuPara"/>
      </w:pPr>
      <w:r w:rsidRPr="000B6220">
        <w:fldChar w:fldCharType="begin"/>
      </w:r>
      <w:r w:rsidRPr="000B6220">
        <w:instrText xml:space="preserve"> SEQ level0 \*arabic </w:instrText>
      </w:r>
      <w:r w:rsidRPr="000B6220">
        <w:fldChar w:fldCharType="separate"/>
      </w:r>
      <w:r w:rsidR="00226498">
        <w:rPr>
          <w:noProof/>
        </w:rPr>
        <w:t>102</w:t>
      </w:r>
      <w:r w:rsidRPr="000B6220">
        <w:fldChar w:fldCharType="end"/>
      </w:r>
      <w:r w:rsidRPr="000B6220">
        <w:t>.  </w:t>
      </w:r>
      <w:r w:rsidRPr="000B6220" w:rsidR="00A042A7">
        <w:t xml:space="preserve">La Cour rappelle à cet égard que la Convention est un instrument vivant à interpréter à la lumière des conditions de vie actuelles et des conceptions prévalant de nos jours dans les Etats démocratiques (voir, entre autres, </w:t>
      </w:r>
      <w:r w:rsidRPr="000B6220" w:rsidR="00A042A7">
        <w:rPr>
          <w:i/>
        </w:rPr>
        <w:t>Tyrer c. Royaume-Uni</w:t>
      </w:r>
      <w:r w:rsidRPr="000B6220" w:rsidR="00A042A7">
        <w:t>, 25 avril 1978, § 31, série A n</w:t>
      </w:r>
      <w:r w:rsidRPr="000B6220" w:rsidR="00A042A7">
        <w:rPr>
          <w:vertAlign w:val="superscript"/>
        </w:rPr>
        <w:t>o</w:t>
      </w:r>
      <w:r w:rsidRPr="000B6220" w:rsidR="00A042A7">
        <w:t xml:space="preserve"> 26, </w:t>
      </w:r>
      <w:r w:rsidRPr="000B6220" w:rsidR="00A042A7">
        <w:rPr>
          <w:i/>
        </w:rPr>
        <w:t xml:space="preserve">Kress c. France </w:t>
      </w:r>
      <w:r w:rsidRPr="000B6220" w:rsidR="00A042A7">
        <w:t>[GC], n</w:t>
      </w:r>
      <w:r w:rsidRPr="000B6220" w:rsidR="00A042A7">
        <w:rPr>
          <w:vertAlign w:val="superscript"/>
        </w:rPr>
        <w:t>o</w:t>
      </w:r>
      <w:r w:rsidRPr="000B6220" w:rsidR="00A042A7">
        <w:t xml:space="preserve"> 39594/98, § 70, CEDH 2001</w:t>
      </w:r>
      <w:r w:rsidRPr="000B6220" w:rsidR="00A042A7">
        <w:noBreakHyphen/>
        <w:t xml:space="preserve">VI, et </w:t>
      </w:r>
      <w:r w:rsidRPr="000B6220" w:rsidR="00A042A7">
        <w:rPr>
          <w:i/>
        </w:rPr>
        <w:t>Christine Goodwin</w:t>
      </w:r>
      <w:r w:rsidRPr="000B6220" w:rsidR="00A042A7">
        <w:t xml:space="preserve">, précité, § 75). </w:t>
      </w:r>
      <w:r w:rsidRPr="000B6220" w:rsidR="00633B1F">
        <w:t>La Convention étant avant tout un mécanisme de protection des droits de l</w:t>
      </w:r>
      <w:r w:rsidR="002257E9">
        <w:t>’</w:t>
      </w:r>
      <w:r w:rsidRPr="000B6220" w:rsidR="00633B1F">
        <w:t>homme, la Cour doit tenir compte de l</w:t>
      </w:r>
      <w:r w:rsidR="002257E9">
        <w:t>’</w:t>
      </w:r>
      <w:r w:rsidRPr="000B6220" w:rsidR="00633B1F">
        <w:t>évolution de la situation dans les Etats contractants et réagir, par exemple, au consensus susceptible de se faire jour quant aux normes à atteindre (</w:t>
      </w:r>
      <w:r w:rsidRPr="000B6220" w:rsidR="00633B1F">
        <w:rPr>
          <w:i/>
        </w:rPr>
        <w:t>Stafford</w:t>
      </w:r>
      <w:r w:rsidRPr="000B6220" w:rsidR="00633B1F">
        <w:t xml:space="preserve">, précité, § 68, et </w:t>
      </w:r>
      <w:r w:rsidRPr="000B6220" w:rsidR="00633B1F">
        <w:rPr>
          <w:i/>
        </w:rPr>
        <w:t>Scoppola c. Italie (n</w:t>
      </w:r>
      <w:r w:rsidRPr="000B6220" w:rsidR="00633B1F">
        <w:rPr>
          <w:i/>
          <w:vertAlign w:val="superscript"/>
        </w:rPr>
        <w:t xml:space="preserve">o </w:t>
      </w:r>
      <w:r w:rsidRPr="000B6220" w:rsidR="00633B1F">
        <w:rPr>
          <w:rFonts w:ascii="Times New (W1)" w:hAnsi="Times New (W1)"/>
          <w:i/>
        </w:rPr>
        <w:t>2)</w:t>
      </w:r>
      <w:r w:rsidRPr="000B6220" w:rsidR="00633B1F">
        <w:t xml:space="preserve"> [GC], n</w:t>
      </w:r>
      <w:r w:rsidRPr="000B6220" w:rsidR="00633B1F">
        <w:rPr>
          <w:vertAlign w:val="superscript"/>
        </w:rPr>
        <w:t>o</w:t>
      </w:r>
      <w:r w:rsidRPr="000B6220" w:rsidR="00AA4433">
        <w:t xml:space="preserve"> 10249/03, § 104</w:t>
      </w:r>
      <w:r w:rsidR="00095B99">
        <w:t xml:space="preserve">, </w:t>
      </w:r>
      <w:r w:rsidR="001209BC">
        <w:t xml:space="preserve">17 septembre </w:t>
      </w:r>
      <w:r w:rsidR="00095B99">
        <w:t>2009</w:t>
      </w:r>
      <w:r w:rsidRPr="000B6220" w:rsidR="00633B1F">
        <w:t xml:space="preserve">). </w:t>
      </w:r>
      <w:r w:rsidRPr="000B6220" w:rsidR="00D52A3D">
        <w:t xml:space="preserve">Par ailleurs, quand elle définit le sens des termes et des notions figurant dans le texte de la Convention, la Cour peut et doit tenir compte des éléments de droit international autres que la Convention et des interprétations faites de ces éléments par les organes compétents. Le consensus qui se dégage des instruments internationaux spécialisés peut constituer un </w:t>
      </w:r>
      <w:r w:rsidRPr="000B6220" w:rsidR="00AA4433">
        <w:t>facteur</w:t>
      </w:r>
      <w:r w:rsidRPr="000B6220" w:rsidR="00D52A3D">
        <w:t xml:space="preserve"> pertinent lorsque la Cour interprète les dispositions de la Convention dans des cas spécifiques (</w:t>
      </w:r>
      <w:r w:rsidRPr="000B6220" w:rsidR="00D52A3D">
        <w:rPr>
          <w:i/>
        </w:rPr>
        <w:t>Demir et Baykara c. Turquie</w:t>
      </w:r>
      <w:r w:rsidRPr="000B6220" w:rsidR="00D52A3D">
        <w:t xml:space="preserve"> [GC], n</w:t>
      </w:r>
      <w:r w:rsidRPr="000B6220" w:rsidR="00D52A3D">
        <w:rPr>
          <w:vertAlign w:val="superscript"/>
        </w:rPr>
        <w:t>o</w:t>
      </w:r>
      <w:r w:rsidRPr="000B6220" w:rsidR="00D52A3D">
        <w:t xml:space="preserve"> 34503/97, § 85, </w:t>
      </w:r>
      <w:r w:rsidR="001209BC">
        <w:t xml:space="preserve">CEDH </w:t>
      </w:r>
      <w:r w:rsidRPr="000B6220" w:rsidR="00D52A3D">
        <w:t>2008).</w:t>
      </w:r>
    </w:p>
    <w:p w:rsidRPr="000B6220" w:rsidR="00D52A3D" w:rsidP="00B2377F" w:rsidRDefault="00D52A3D">
      <w:pPr>
        <w:pStyle w:val="JuPara"/>
      </w:pPr>
      <w:r w:rsidRPr="000B6220">
        <w:fldChar w:fldCharType="begin"/>
      </w:r>
      <w:r w:rsidRPr="000B6220">
        <w:instrText xml:space="preserve"> SEQ level0 \*arabic </w:instrText>
      </w:r>
      <w:r w:rsidRPr="000B6220">
        <w:fldChar w:fldCharType="separate"/>
      </w:r>
      <w:r w:rsidR="00226498">
        <w:rPr>
          <w:noProof/>
        </w:rPr>
        <w:t>103</w:t>
      </w:r>
      <w:r w:rsidRPr="000B6220">
        <w:fldChar w:fldCharType="end"/>
      </w:r>
      <w:r w:rsidRPr="000B6220">
        <w:t>.  </w:t>
      </w:r>
      <w:r w:rsidRPr="000B6220" w:rsidR="001E23A9">
        <w:t>La Cour note qu</w:t>
      </w:r>
      <w:r w:rsidR="002257E9">
        <w:t>’</w:t>
      </w:r>
      <w:r w:rsidRPr="000B6220" w:rsidR="001E23A9">
        <w:t>à la fin des années 1980 et dans les années 1990, il s</w:t>
      </w:r>
      <w:r w:rsidR="002257E9">
        <w:t>’</w:t>
      </w:r>
      <w:r w:rsidRPr="000B6220" w:rsidR="001E23A9">
        <w:t xml:space="preserve">est </w:t>
      </w:r>
      <w:r w:rsidRPr="000B6220" w:rsidR="00AA4433">
        <w:t>produit</w:t>
      </w:r>
      <w:r w:rsidRPr="000B6220" w:rsidR="001E23A9">
        <w:t xml:space="preserve"> au sein des pays européens, tant </w:t>
      </w:r>
      <w:r w:rsidR="004F3590">
        <w:t xml:space="preserve">dans </w:t>
      </w:r>
      <w:r w:rsidRPr="000B6220" w:rsidR="001E23A9">
        <w:t xml:space="preserve">ceux </w:t>
      </w:r>
      <w:r w:rsidR="00721241">
        <w:t xml:space="preserve">qui étaient </w:t>
      </w:r>
      <w:r w:rsidRPr="000B6220" w:rsidR="001E23A9">
        <w:t>déjà membres du Conseil de l</w:t>
      </w:r>
      <w:r w:rsidR="002257E9">
        <w:t>’</w:t>
      </w:r>
      <w:r w:rsidRPr="000B6220" w:rsidR="001E23A9">
        <w:t xml:space="preserve">Europe que </w:t>
      </w:r>
      <w:r w:rsidR="004F3590">
        <w:t xml:space="preserve">dans </w:t>
      </w:r>
      <w:r w:rsidRPr="000B6220" w:rsidR="001E23A9">
        <w:t xml:space="preserve">ceux qui </w:t>
      </w:r>
      <w:r w:rsidR="00721241">
        <w:t>allaient y adhérer</w:t>
      </w:r>
      <w:r w:rsidRPr="000B6220" w:rsidR="001E23A9">
        <w:t xml:space="preserve"> plus tard, </w:t>
      </w:r>
      <w:r w:rsidRPr="000B6220" w:rsidR="00AA4433">
        <w:t>un net mouvement de</w:t>
      </w:r>
      <w:r w:rsidRPr="000B6220" w:rsidR="001E23A9">
        <w:t xml:space="preserve"> reconnaissance du droit à l</w:t>
      </w:r>
      <w:r w:rsidR="002257E9">
        <w:t>’</w:t>
      </w:r>
      <w:r w:rsidRPr="000B6220" w:rsidR="001E23A9">
        <w:t xml:space="preserve">objection de conscience (paragraphe 47 ci-dessus). En tout, dix-neuf </w:t>
      </w:r>
      <w:r w:rsidR="00EB271E">
        <w:t xml:space="preserve">des </w:t>
      </w:r>
      <w:r w:rsidRPr="000B6220" w:rsidR="001E23A9">
        <w:t>Etats qui n</w:t>
      </w:r>
      <w:r w:rsidR="002257E9">
        <w:t>’</w:t>
      </w:r>
      <w:r w:rsidRPr="000B6220" w:rsidR="005A277B">
        <w:t>avaient pas encore reconnu c</w:t>
      </w:r>
      <w:r w:rsidRPr="000B6220" w:rsidR="001E23A9">
        <w:t xml:space="preserve">e droit </w:t>
      </w:r>
      <w:r w:rsidRPr="000B6220" w:rsidR="005A277B">
        <w:t>l</w:t>
      </w:r>
      <w:r w:rsidR="002257E9">
        <w:t>’</w:t>
      </w:r>
      <w:r w:rsidRPr="000B6220" w:rsidR="001E23A9">
        <w:t>ont introduit dans leur ordre juridique interne à peu près à l</w:t>
      </w:r>
      <w:r w:rsidR="002257E9">
        <w:t>’</w:t>
      </w:r>
      <w:r w:rsidRPr="000B6220" w:rsidR="001E23A9">
        <w:t xml:space="preserve">époque </w:t>
      </w:r>
      <w:r w:rsidR="004F3590">
        <w:t>d</w:t>
      </w:r>
      <w:r w:rsidRPr="000B6220" w:rsidR="004F3590">
        <w:t xml:space="preserve">es dernières décisions </w:t>
      </w:r>
      <w:r w:rsidR="004F3590">
        <w:t xml:space="preserve">de </w:t>
      </w:r>
      <w:r w:rsidRPr="000B6220" w:rsidR="001E23A9">
        <w:t xml:space="preserve">la Commission en la matière. Dès lors, </w:t>
      </w:r>
      <w:r w:rsidRPr="000B6220" w:rsidR="00AA4433">
        <w:t xml:space="preserve">au moment où a eu lieu </w:t>
      </w:r>
      <w:r w:rsidRPr="000B6220" w:rsidR="001E23A9">
        <w:t>l</w:t>
      </w:r>
      <w:r w:rsidR="002257E9">
        <w:t>’</w:t>
      </w:r>
      <w:r w:rsidRPr="000B6220" w:rsidR="001E23A9">
        <w:t xml:space="preserve">ingérence alléguée dans </w:t>
      </w:r>
      <w:r w:rsidR="00C106CC">
        <w:t>l</w:t>
      </w:r>
      <w:r w:rsidR="002257E9">
        <w:t>’</w:t>
      </w:r>
      <w:r w:rsidR="00C106CC">
        <w:t>exercice par le requérant d</w:t>
      </w:r>
      <w:r w:rsidRPr="000B6220" w:rsidR="001E23A9">
        <w:t>es droits garantis par l</w:t>
      </w:r>
      <w:r w:rsidR="002257E9">
        <w:t>’</w:t>
      </w:r>
      <w:r w:rsidRPr="000B6220" w:rsidR="001E23A9">
        <w:t xml:space="preserve">article 9, à savoir en 2002-2003, seuls quatre Etats membres, en </w:t>
      </w:r>
      <w:r w:rsidRPr="000B6220" w:rsidR="00AA4433">
        <w:t>dehors</w:t>
      </w:r>
      <w:r w:rsidRPr="000B6220" w:rsidR="001E23A9">
        <w:t xml:space="preserve"> de l</w:t>
      </w:r>
      <w:r w:rsidR="002257E9">
        <w:t>’</w:t>
      </w:r>
      <w:r w:rsidRPr="000B6220" w:rsidR="001E23A9">
        <w:t xml:space="preserve">Arménie, </w:t>
      </w:r>
      <w:r w:rsidRPr="000B6220" w:rsidR="0025145E">
        <w:t>ne prévoyaient pas la possibilité de demander le statut d</w:t>
      </w:r>
      <w:r w:rsidR="002257E9">
        <w:t>’</w:t>
      </w:r>
      <w:r w:rsidRPr="000B6220" w:rsidR="0025145E">
        <w:t xml:space="preserve">objecteur de conscience, </w:t>
      </w:r>
      <w:r w:rsidR="00721241">
        <w:t>dont</w:t>
      </w:r>
      <w:r w:rsidRPr="000B6220" w:rsidR="0025145E">
        <w:t xml:space="preserve"> trois </w:t>
      </w:r>
      <w:r w:rsidR="009E2A22">
        <w:t xml:space="preserve">avaient </w:t>
      </w:r>
      <w:r w:rsidRPr="000B6220" w:rsidR="005A277B">
        <w:t xml:space="preserve">déjà </w:t>
      </w:r>
      <w:r w:rsidR="00C106CC">
        <w:t>inséré</w:t>
      </w:r>
      <w:r w:rsidRPr="000B6220" w:rsidR="005A277B">
        <w:t xml:space="preserve"> ce droit dans leur</w:t>
      </w:r>
      <w:r w:rsidR="00571C5C">
        <w:t xml:space="preserve"> C</w:t>
      </w:r>
      <w:r w:rsidRPr="000B6220" w:rsidR="0025145E">
        <w:t>onstitution mais sans avoir encore adopté les décrets d</w:t>
      </w:r>
      <w:r w:rsidR="002257E9">
        <w:t>’</w:t>
      </w:r>
      <w:r w:rsidRPr="000B6220" w:rsidR="0025145E">
        <w:t xml:space="preserve">application correspondants (paragraphe 48 ci-dessus). Ainsi, il existait </w:t>
      </w:r>
      <w:r w:rsidR="004F3590">
        <w:t>déjà à</w:t>
      </w:r>
      <w:r w:rsidRPr="000B6220" w:rsidR="0025145E">
        <w:t xml:space="preserve"> l</w:t>
      </w:r>
      <w:r w:rsidR="002257E9">
        <w:t>’</w:t>
      </w:r>
      <w:r w:rsidRPr="000B6220" w:rsidR="0025145E">
        <w:t>époque des faits un quasi-consensus au sein des Etats membres du Conseil de l</w:t>
      </w:r>
      <w:r w:rsidR="002257E9">
        <w:t>’</w:t>
      </w:r>
      <w:r w:rsidRPr="000B6220" w:rsidR="0025145E">
        <w:t>Europe puisque l</w:t>
      </w:r>
      <w:r w:rsidR="002257E9">
        <w:t>’</w:t>
      </w:r>
      <w:r w:rsidR="004F3590">
        <w:t>immense</w:t>
      </w:r>
      <w:r w:rsidRPr="000B6220" w:rsidR="0025145E">
        <w:t xml:space="preserve"> majorité d</w:t>
      </w:r>
      <w:r w:rsidR="002257E9">
        <w:t>’</w:t>
      </w:r>
      <w:r w:rsidRPr="000B6220" w:rsidR="0025145E">
        <w:t xml:space="preserve">entre eux avait déjà </w:t>
      </w:r>
      <w:r w:rsidRPr="000B6220" w:rsidR="005A277B">
        <w:t>introduit</w:t>
      </w:r>
      <w:r w:rsidRPr="000B6220" w:rsidR="0025145E">
        <w:t xml:space="preserve"> le droit à l</w:t>
      </w:r>
      <w:r w:rsidR="002257E9">
        <w:t>’</w:t>
      </w:r>
      <w:r w:rsidRPr="000B6220" w:rsidR="0025145E">
        <w:t xml:space="preserve">objection de conscience </w:t>
      </w:r>
      <w:r w:rsidR="009E2A22">
        <w:t xml:space="preserve">dans leur </w:t>
      </w:r>
      <w:r w:rsidR="004F3590">
        <w:t>législation</w:t>
      </w:r>
      <w:r w:rsidR="009E2A22">
        <w:t xml:space="preserve"> et leur pratique</w:t>
      </w:r>
      <w:r w:rsidRPr="000B6220" w:rsidR="0025145E">
        <w:t>.</w:t>
      </w:r>
    </w:p>
    <w:p w:rsidRPr="000B6220" w:rsidR="0025145E" w:rsidP="00E05F30" w:rsidRDefault="0025145E">
      <w:pPr>
        <w:pStyle w:val="JuPara"/>
      </w:pPr>
      <w:r w:rsidRPr="000B6220">
        <w:fldChar w:fldCharType="begin"/>
      </w:r>
      <w:r w:rsidRPr="000B6220">
        <w:instrText xml:space="preserve"> SEQ level0 \*arabic </w:instrText>
      </w:r>
      <w:r w:rsidRPr="000B6220">
        <w:fldChar w:fldCharType="separate"/>
      </w:r>
      <w:r w:rsidR="00226498">
        <w:rPr>
          <w:noProof/>
        </w:rPr>
        <w:t>104</w:t>
      </w:r>
      <w:r w:rsidRPr="000B6220">
        <w:fldChar w:fldCharType="end"/>
      </w:r>
      <w:r w:rsidRPr="000B6220">
        <w:t>.  </w:t>
      </w:r>
      <w:r w:rsidRPr="000B6220" w:rsidR="005A277B">
        <w:t xml:space="preserve">De plus, la Cour note que, postérieurement aux faits de la cause, deux autres Etats ont adopté des lois </w:t>
      </w:r>
      <w:r w:rsidRPr="000B6220" w:rsidR="00AA4433">
        <w:t xml:space="preserve">mettant complètement en œuvre </w:t>
      </w:r>
      <w:r w:rsidRPr="000B6220" w:rsidR="005A277B">
        <w:t>le droit à l</w:t>
      </w:r>
      <w:r w:rsidR="002257E9">
        <w:t>’</w:t>
      </w:r>
      <w:r w:rsidRPr="000B6220" w:rsidR="005A277B">
        <w:t xml:space="preserve">objection de conscience. </w:t>
      </w:r>
      <w:r w:rsidRPr="000B6220" w:rsidR="00AA4433">
        <w:t xml:space="preserve">Il ne reste </w:t>
      </w:r>
      <w:r w:rsidR="00C106CC">
        <w:t xml:space="preserve">donc </w:t>
      </w:r>
      <w:r w:rsidRPr="000B6220" w:rsidR="00AA4433">
        <w:t xml:space="preserve">plus que deux </w:t>
      </w:r>
      <w:r w:rsidRPr="000B6220" w:rsidR="005A277B">
        <w:t>Etats membres</w:t>
      </w:r>
      <w:r w:rsidRPr="000B6220" w:rsidR="009735CC">
        <w:t>, l</w:t>
      </w:r>
      <w:r w:rsidR="002257E9">
        <w:t>’</w:t>
      </w:r>
      <w:r w:rsidRPr="000B6220" w:rsidR="009735CC">
        <w:t>Azerbaïdjan et la Turquie</w:t>
      </w:r>
      <w:r w:rsidR="009735CC">
        <w:t>,</w:t>
      </w:r>
      <w:r w:rsidRPr="000B6220" w:rsidR="005A277B">
        <w:t xml:space="preserve"> à ne pas avoir pris une telle mesure. </w:t>
      </w:r>
      <w:r w:rsidR="00EB271E">
        <w:t xml:space="preserve">La Cour relève par ailleurs </w:t>
      </w:r>
      <w:r w:rsidRPr="000B6220" w:rsidR="005A277B">
        <w:t>que l</w:t>
      </w:r>
      <w:r w:rsidR="002257E9">
        <w:t>’</w:t>
      </w:r>
      <w:r w:rsidRPr="000B6220" w:rsidR="005A277B">
        <w:t>Arménie elle-même a reconnu ce droit après que le requérant fut sorti de prison et eut introduit la requête à l</w:t>
      </w:r>
      <w:r w:rsidR="002257E9">
        <w:t>’</w:t>
      </w:r>
      <w:r w:rsidRPr="000B6220" w:rsidR="005A277B">
        <w:t>origine de la présente affaire.</w:t>
      </w:r>
    </w:p>
    <w:p w:rsidRPr="000B6220" w:rsidR="005A277B" w:rsidP="00E05F30" w:rsidRDefault="005A277B">
      <w:pPr>
        <w:pStyle w:val="JuPara"/>
      </w:pPr>
      <w:r w:rsidRPr="000B6220">
        <w:fldChar w:fldCharType="begin"/>
      </w:r>
      <w:r w:rsidRPr="000B6220">
        <w:instrText xml:space="preserve"> SEQ level0 \*arabic </w:instrText>
      </w:r>
      <w:r w:rsidRPr="000B6220">
        <w:fldChar w:fldCharType="separate"/>
      </w:r>
      <w:r w:rsidR="00226498">
        <w:rPr>
          <w:noProof/>
        </w:rPr>
        <w:t>105</w:t>
      </w:r>
      <w:r w:rsidRPr="000B6220">
        <w:fldChar w:fldCharType="end"/>
      </w:r>
      <w:r w:rsidRPr="000B6220">
        <w:t>.  </w:t>
      </w:r>
      <w:r w:rsidRPr="000B6220" w:rsidR="000A0387">
        <w:t xml:space="preserve">La Cour attire </w:t>
      </w:r>
      <w:r w:rsidRPr="000B6220" w:rsidR="0086024D">
        <w:t>également</w:t>
      </w:r>
      <w:r w:rsidRPr="000B6220" w:rsidR="000A0387">
        <w:t xml:space="preserve"> l</w:t>
      </w:r>
      <w:r w:rsidR="002257E9">
        <w:t>’</w:t>
      </w:r>
      <w:r w:rsidRPr="000B6220" w:rsidR="000A0387">
        <w:t>attention sur l</w:t>
      </w:r>
      <w:r w:rsidRPr="000B6220" w:rsidR="00AA4433">
        <w:t xml:space="preserve">es </w:t>
      </w:r>
      <w:r w:rsidRPr="000B6220" w:rsidR="000A0387">
        <w:t>évolution</w:t>
      </w:r>
      <w:r w:rsidRPr="000B6220" w:rsidR="00AA4433">
        <w:t>s</w:t>
      </w:r>
      <w:r w:rsidR="009735CC">
        <w:t xml:space="preserve"> non moins </w:t>
      </w:r>
      <w:r w:rsidRPr="000B6220" w:rsidR="000A0387">
        <w:t>importante</w:t>
      </w:r>
      <w:r w:rsidRPr="000B6220" w:rsidR="00AA4433">
        <w:t>s</w:t>
      </w:r>
      <w:r w:rsidR="009735CC">
        <w:t xml:space="preserve"> </w:t>
      </w:r>
      <w:r w:rsidR="008C4976">
        <w:t xml:space="preserve">qui sont </w:t>
      </w:r>
      <w:r w:rsidR="003055AB">
        <w:t xml:space="preserve">intervenues </w:t>
      </w:r>
      <w:r w:rsidRPr="000B6220" w:rsidR="000A0387">
        <w:t xml:space="preserve">dans différentes </w:t>
      </w:r>
      <w:r w:rsidR="009735CC">
        <w:t>enceintes</w:t>
      </w:r>
      <w:r w:rsidRPr="000B6220" w:rsidR="000A0387">
        <w:t xml:space="preserve"> internationales </w:t>
      </w:r>
      <w:r w:rsidRPr="000B6220" w:rsidR="00AA4433">
        <w:t>s</w:t>
      </w:r>
      <w:r w:rsidR="002257E9">
        <w:t>’</w:t>
      </w:r>
      <w:r w:rsidRPr="000B6220" w:rsidR="00AA4433">
        <w:t xml:space="preserve">agissant de la </w:t>
      </w:r>
      <w:r w:rsidRPr="000B6220" w:rsidR="000A0387">
        <w:t>reconnaissance du droit à l</w:t>
      </w:r>
      <w:r w:rsidR="002257E9">
        <w:t>’</w:t>
      </w:r>
      <w:r w:rsidRPr="000B6220" w:rsidR="000A0387">
        <w:t xml:space="preserve">objection de conscience. </w:t>
      </w:r>
      <w:r w:rsidRPr="000B6220" w:rsidR="00A71C1D">
        <w:t>La plus notable est l</w:t>
      </w:r>
      <w:r w:rsidR="002257E9">
        <w:t>’</w:t>
      </w:r>
      <w:r w:rsidRPr="000B6220" w:rsidR="00A71C1D">
        <w:t>interprétation qu</w:t>
      </w:r>
      <w:r w:rsidR="002257E9">
        <w:t>’</w:t>
      </w:r>
      <w:r w:rsidRPr="000B6220" w:rsidR="00A71C1D">
        <w:t xml:space="preserve">a </w:t>
      </w:r>
      <w:r w:rsidRPr="00C106CC" w:rsidR="00A71C1D">
        <w:t>livré</w:t>
      </w:r>
      <w:r w:rsidRPr="00C106CC" w:rsidR="00AA4433">
        <w:t>e</w:t>
      </w:r>
      <w:r w:rsidRPr="000B6220" w:rsidR="00A71C1D">
        <w:t xml:space="preserve"> le Comité des droits de l</w:t>
      </w:r>
      <w:r w:rsidR="002257E9">
        <w:t>’</w:t>
      </w:r>
      <w:r w:rsidRPr="000B6220" w:rsidR="00A71C1D">
        <w:t>homme des Nations unies des articles 8 et 18 du PIDCP, qui forment le pendant des articles 4 et 9 de la Convention. A l</w:t>
      </w:r>
      <w:r w:rsidR="002257E9">
        <w:t>’</w:t>
      </w:r>
      <w:r w:rsidRPr="000B6220" w:rsidR="00A71C1D">
        <w:t>origine, le Comité des droits de l</w:t>
      </w:r>
      <w:r w:rsidR="002257E9">
        <w:t>’</w:t>
      </w:r>
      <w:r w:rsidRPr="000B6220" w:rsidR="00A71C1D">
        <w:t xml:space="preserve">homme avait </w:t>
      </w:r>
      <w:r w:rsidR="003055AB">
        <w:t>défendu</w:t>
      </w:r>
      <w:r w:rsidRPr="000B6220" w:rsidR="00A71C1D">
        <w:t xml:space="preserve"> la même position que la Commission européenne en excluant le droit à l</w:t>
      </w:r>
      <w:r w:rsidR="002257E9">
        <w:t>’</w:t>
      </w:r>
      <w:r w:rsidRPr="000B6220" w:rsidR="00A71C1D">
        <w:t>objection de conscience du champ d</w:t>
      </w:r>
      <w:r w:rsidR="002257E9">
        <w:t>’</w:t>
      </w:r>
      <w:r w:rsidRPr="000B6220" w:rsidR="00A71C1D">
        <w:t>application de l</w:t>
      </w:r>
      <w:r w:rsidR="002257E9">
        <w:t>’</w:t>
      </w:r>
      <w:r w:rsidRPr="000B6220" w:rsidR="00A71C1D">
        <w:t>article 18</w:t>
      </w:r>
      <w:r w:rsidR="00EB271E">
        <w:t xml:space="preserve"> du PIDCP</w:t>
      </w:r>
      <w:r w:rsidRPr="000B6220" w:rsidR="00A71C1D">
        <w:t>. Toutefois, dans son observation générale n</w:t>
      </w:r>
      <w:r w:rsidRPr="00E40C8E" w:rsidR="00E40C8E">
        <w:rPr>
          <w:vertAlign w:val="superscript"/>
        </w:rPr>
        <w:t>o</w:t>
      </w:r>
      <w:r w:rsidRPr="000B6220" w:rsidR="00A71C1D">
        <w:t xml:space="preserve"> 22 adoptée en 1993, il est revenu sur cette position initiale en considérant </w:t>
      </w:r>
      <w:r w:rsidRPr="000B6220" w:rsidR="00AA4433">
        <w:t>qu</w:t>
      </w:r>
      <w:r w:rsidR="002257E9">
        <w:t>’</w:t>
      </w:r>
      <w:r w:rsidRPr="000B6220" w:rsidR="00A71C1D">
        <w:t>un droit à l</w:t>
      </w:r>
      <w:r w:rsidR="002257E9">
        <w:t>’</w:t>
      </w:r>
      <w:r w:rsidRPr="000B6220" w:rsidR="00A71C1D">
        <w:t xml:space="preserve">objection de conscience </w:t>
      </w:r>
      <w:r w:rsidRPr="000B6220" w:rsidR="00AA4433">
        <w:t xml:space="preserve">pouvait être déduit </w:t>
      </w:r>
      <w:r w:rsidRPr="000B6220" w:rsidR="00A71C1D">
        <w:t>de l</w:t>
      </w:r>
      <w:r w:rsidR="002257E9">
        <w:t>’</w:t>
      </w:r>
      <w:r w:rsidRPr="000B6220" w:rsidR="00A71C1D">
        <w:t xml:space="preserve">article 18 </w:t>
      </w:r>
      <w:r w:rsidR="00EB271E">
        <w:t xml:space="preserve">du PIDCP </w:t>
      </w:r>
      <w:r w:rsidRPr="000B6220" w:rsidR="00AA4433">
        <w:t xml:space="preserve">dans la mesure où </w:t>
      </w:r>
      <w:r w:rsidRPr="000B6220" w:rsidR="00A71C1D">
        <w:t>l</w:t>
      </w:r>
      <w:r w:rsidR="002257E9">
        <w:t>’</w:t>
      </w:r>
      <w:r w:rsidRPr="000B6220" w:rsidR="00A71C1D">
        <w:t xml:space="preserve">obligation </w:t>
      </w:r>
      <w:r w:rsidRPr="000B6220" w:rsidR="00AA4433">
        <w:t>d</w:t>
      </w:r>
      <w:r w:rsidR="002257E9">
        <w:t>’</w:t>
      </w:r>
      <w:r w:rsidRPr="000B6220" w:rsidR="00AA4433">
        <w:t xml:space="preserve">employer </w:t>
      </w:r>
      <w:r w:rsidRPr="000B6220" w:rsidR="00A71C1D">
        <w:t xml:space="preserve">la force </w:t>
      </w:r>
      <w:r w:rsidRPr="000B6220" w:rsidR="00AA4433">
        <w:t xml:space="preserve">au prix de vies humaines </w:t>
      </w:r>
      <w:r w:rsidRPr="000B6220" w:rsidR="00A71C1D">
        <w:t xml:space="preserve">pouvait susciter un grave conflit avec la liberté de conscience </w:t>
      </w:r>
      <w:r w:rsidRPr="000B6220" w:rsidR="0086024D">
        <w:t>d</w:t>
      </w:r>
      <w:r w:rsidR="002257E9">
        <w:t>’</w:t>
      </w:r>
      <w:r w:rsidRPr="000B6220" w:rsidR="0086024D">
        <w:t xml:space="preserve">une personne </w:t>
      </w:r>
      <w:r w:rsidRPr="000B6220" w:rsidR="00A71C1D">
        <w:t xml:space="preserve">et </w:t>
      </w:r>
      <w:r w:rsidRPr="000B6220" w:rsidR="0086024D">
        <w:t>son</w:t>
      </w:r>
      <w:r w:rsidRPr="000B6220" w:rsidR="00A71C1D">
        <w:t xml:space="preserve"> droit de manifester sa </w:t>
      </w:r>
      <w:r w:rsidR="00D24327">
        <w:t>religion ou ses convictions. En </w:t>
      </w:r>
      <w:r w:rsidRPr="000B6220" w:rsidR="00A71C1D">
        <w:t>2006, le Comité a explicitement refusé d</w:t>
      </w:r>
      <w:r w:rsidR="002257E9">
        <w:t>’</w:t>
      </w:r>
      <w:r w:rsidRPr="000B6220" w:rsidR="00A71C1D">
        <w:t>appliquer l</w:t>
      </w:r>
      <w:r w:rsidR="002257E9">
        <w:t>’</w:t>
      </w:r>
      <w:r w:rsidRPr="000B6220" w:rsidR="00A71C1D">
        <w:t xml:space="preserve">article 8 </w:t>
      </w:r>
      <w:r w:rsidR="00EB271E">
        <w:t xml:space="preserve">du PIDCP </w:t>
      </w:r>
      <w:r w:rsidRPr="000B6220" w:rsidR="00A71C1D">
        <w:t xml:space="preserve">dans deux affaires dirigées contre la Corée du Sud par </w:t>
      </w:r>
      <w:r w:rsidRPr="000B6220" w:rsidR="0086024D">
        <w:t>des</w:t>
      </w:r>
      <w:r w:rsidRPr="000B6220" w:rsidR="00A71C1D">
        <w:t xml:space="preserve"> objecteurs de conscience</w:t>
      </w:r>
      <w:r w:rsidRPr="000B6220" w:rsidR="0086024D">
        <w:t>,</w:t>
      </w:r>
      <w:r w:rsidRPr="000B6220" w:rsidR="00A71C1D">
        <w:t xml:space="preserve"> </w:t>
      </w:r>
      <w:r w:rsidRPr="000B6220" w:rsidR="0086024D">
        <w:t>et a examiné leurs griefs sous le seul angle de l</w:t>
      </w:r>
      <w:r w:rsidR="002257E9">
        <w:t>’</w:t>
      </w:r>
      <w:r w:rsidRPr="000B6220" w:rsidR="0086024D">
        <w:t>article 18</w:t>
      </w:r>
      <w:r w:rsidR="00EB271E">
        <w:t xml:space="preserve"> du PIDCP</w:t>
      </w:r>
      <w:r w:rsidR="009735CC">
        <w:t>,</w:t>
      </w:r>
      <w:r w:rsidRPr="000B6220" w:rsidR="0086024D">
        <w:t xml:space="preserve"> pour conclure à la violation de cette disposition à raison de la condamnation des requérants </w:t>
      </w:r>
      <w:r w:rsidR="008C4976">
        <w:t>au motif qu</w:t>
      </w:r>
      <w:r w:rsidR="002257E9">
        <w:t>’</w:t>
      </w:r>
      <w:r w:rsidR="008C4976">
        <w:t>ils avaient</w:t>
      </w:r>
      <w:r w:rsidRPr="000B6220" w:rsidR="0086024D">
        <w:t xml:space="preserve"> refusé de servir dans l</w:t>
      </w:r>
      <w:r w:rsidR="002257E9">
        <w:t>’</w:t>
      </w:r>
      <w:r w:rsidRPr="000B6220" w:rsidR="0086024D">
        <w:t>armée pour des raisons de c</w:t>
      </w:r>
      <w:r w:rsidR="009735CC">
        <w:t>onscience (paragraphes 59-64 ci-</w:t>
      </w:r>
      <w:r w:rsidRPr="000B6220" w:rsidR="0086024D">
        <w:t>dessus).</w:t>
      </w:r>
    </w:p>
    <w:p w:rsidRPr="000B6220" w:rsidR="0086024D" w:rsidP="00E05F30" w:rsidRDefault="0086024D">
      <w:pPr>
        <w:pStyle w:val="JuPara"/>
      </w:pPr>
      <w:r w:rsidRPr="000B6220">
        <w:fldChar w:fldCharType="begin"/>
      </w:r>
      <w:r w:rsidRPr="000B6220">
        <w:instrText xml:space="preserve"> SEQ level0 \*arabic </w:instrText>
      </w:r>
      <w:r w:rsidRPr="000B6220">
        <w:fldChar w:fldCharType="separate"/>
      </w:r>
      <w:r w:rsidR="00226498">
        <w:rPr>
          <w:noProof/>
        </w:rPr>
        <w:t>106</w:t>
      </w:r>
      <w:r w:rsidRPr="000B6220">
        <w:fldChar w:fldCharType="end"/>
      </w:r>
      <w:r w:rsidRPr="000B6220">
        <w:t>.  </w:t>
      </w:r>
      <w:r w:rsidRPr="000B6220" w:rsidR="007B1DC0">
        <w:t>Pour ce qui est de l</w:t>
      </w:r>
      <w:r w:rsidR="002257E9">
        <w:t>’</w:t>
      </w:r>
      <w:r w:rsidRPr="000B6220" w:rsidR="007B1DC0">
        <w:t>Europe, il convient de mentionner la proclamation en 2000 de la Charte des droits fondamentaux de l</w:t>
      </w:r>
      <w:r w:rsidR="002257E9">
        <w:t>’</w:t>
      </w:r>
      <w:r w:rsidRPr="000B6220" w:rsidR="007B1DC0">
        <w:t>Union européenne, entrée en vigueur en 2009. Alors que l</w:t>
      </w:r>
      <w:r w:rsidR="002257E9">
        <w:t>’</w:t>
      </w:r>
      <w:r w:rsidRPr="000B6220" w:rsidR="007B1DC0">
        <w:t xml:space="preserve">article 10 de la Charte reprend quasi mot pour mot </w:t>
      </w:r>
      <w:r w:rsidR="003055AB">
        <w:t>en son</w:t>
      </w:r>
      <w:r w:rsidRPr="000B6220" w:rsidR="003055AB">
        <w:t xml:space="preserve"> premier paragraphe </w:t>
      </w:r>
      <w:r w:rsidRPr="000B6220" w:rsidR="007B1DC0">
        <w:t>le libellé de l</w:t>
      </w:r>
      <w:r w:rsidR="002257E9">
        <w:t>’</w:t>
      </w:r>
      <w:r w:rsidRPr="000B6220" w:rsidR="007B1DC0">
        <w:t xml:space="preserve">article 9 § 1 de la Convention, son second paragraphe </w:t>
      </w:r>
      <w:r w:rsidR="003469B6">
        <w:t>énonce expressément</w:t>
      </w:r>
      <w:r w:rsidRPr="000B6220" w:rsidR="007B1DC0">
        <w:t xml:space="preserve"> que « [l]e droit à l</w:t>
      </w:r>
      <w:r w:rsidR="002257E9">
        <w:t>’</w:t>
      </w:r>
      <w:r w:rsidRPr="000B6220" w:rsidR="007B1DC0">
        <w:t>objection de conscience est reconnu selon les lois nationales qui en régissent l</w:t>
      </w:r>
      <w:r w:rsidR="002257E9">
        <w:t>’</w:t>
      </w:r>
      <w:r w:rsidRPr="000B6220" w:rsidR="007B1DC0">
        <w:t xml:space="preserve">exercice » (paragraphe 57 ci-dessus). Une adjonction aussi claire </w:t>
      </w:r>
      <w:r w:rsidR="009735CC">
        <w:t>ne peut être qu</w:t>
      </w:r>
      <w:r w:rsidR="002257E9">
        <w:t>’</w:t>
      </w:r>
      <w:r w:rsidRPr="000B6220" w:rsidR="007B1DC0">
        <w:t xml:space="preserve">intentionnelle (voir, </w:t>
      </w:r>
      <w:r w:rsidRPr="000B6220" w:rsidR="007B1DC0">
        <w:rPr>
          <w:i/>
        </w:rPr>
        <w:t>mutatis mutandis</w:t>
      </w:r>
      <w:r w:rsidRPr="000B6220" w:rsidR="007B1DC0">
        <w:t xml:space="preserve">, </w:t>
      </w:r>
      <w:r w:rsidRPr="000B6220" w:rsidR="007B1DC0">
        <w:rPr>
          <w:i/>
        </w:rPr>
        <w:t>Christine Goodwin</w:t>
      </w:r>
      <w:r w:rsidRPr="000B6220" w:rsidR="007B1DC0">
        <w:t xml:space="preserve">, précité, § 100, et </w:t>
      </w:r>
      <w:r w:rsidRPr="000B6220" w:rsidR="007B1DC0">
        <w:rPr>
          <w:i/>
        </w:rPr>
        <w:t>Scoppola</w:t>
      </w:r>
      <w:r w:rsidRPr="000B6220" w:rsidR="007B1DC0">
        <w:t>, précité, § 105) et reflète la reconnaissance unanime du droit à l</w:t>
      </w:r>
      <w:r w:rsidR="002257E9">
        <w:t>’</w:t>
      </w:r>
      <w:r w:rsidRPr="000B6220" w:rsidR="007B1DC0">
        <w:t>objection de conscience par les Etats membres de l</w:t>
      </w:r>
      <w:r w:rsidR="002257E9">
        <w:t>’</w:t>
      </w:r>
      <w:r w:rsidRPr="000B6220" w:rsidR="007B1DC0">
        <w:t>Union européenne, ainsi que le poids qui est accordé à ce droit dans la société européenne moderne.</w:t>
      </w:r>
    </w:p>
    <w:p w:rsidRPr="000B6220" w:rsidR="007B1DC0" w:rsidP="00E05F30" w:rsidRDefault="007B1DC0">
      <w:pPr>
        <w:pStyle w:val="JuPara"/>
      </w:pPr>
      <w:r w:rsidRPr="000B6220">
        <w:fldChar w:fldCharType="begin"/>
      </w:r>
      <w:r w:rsidRPr="000B6220">
        <w:instrText xml:space="preserve"> SEQ level0 \*arabic </w:instrText>
      </w:r>
      <w:r w:rsidRPr="000B6220">
        <w:fldChar w:fldCharType="separate"/>
      </w:r>
      <w:r w:rsidR="00226498">
        <w:rPr>
          <w:noProof/>
        </w:rPr>
        <w:t>107</w:t>
      </w:r>
      <w:r w:rsidRPr="000B6220">
        <w:fldChar w:fldCharType="end"/>
      </w:r>
      <w:r w:rsidRPr="000B6220">
        <w:t>.  </w:t>
      </w:r>
      <w:r w:rsidRPr="000B6220" w:rsidR="00D32471">
        <w:t>Au sein du Conseil de l</w:t>
      </w:r>
      <w:r w:rsidR="002257E9">
        <w:t>’</w:t>
      </w:r>
      <w:r w:rsidRPr="000B6220" w:rsidR="00D32471">
        <w:t>Europe</w:t>
      </w:r>
      <w:r w:rsidRPr="000B6220" w:rsidR="004E0F8A">
        <w:t>, tant l</w:t>
      </w:r>
      <w:r w:rsidR="002257E9">
        <w:t>’</w:t>
      </w:r>
      <w:r w:rsidRPr="000B6220" w:rsidR="004E0F8A">
        <w:t>Assemblée parlementaire</w:t>
      </w:r>
      <w:r w:rsidRPr="000B6220" w:rsidR="00D32471">
        <w:t xml:space="preserve"> que le Comité des Ministres ont </w:t>
      </w:r>
      <w:r w:rsidR="003469B6">
        <w:t>également</w:t>
      </w:r>
      <w:r w:rsidRPr="000B6220" w:rsidR="00D32471">
        <w:t xml:space="preserve"> appelé à plusieurs reprises les Etats membres ne l</w:t>
      </w:r>
      <w:r w:rsidR="002257E9">
        <w:t>’</w:t>
      </w:r>
      <w:r w:rsidRPr="000B6220" w:rsidR="00D32471">
        <w:t>ayant pas encore fait à reconnaître le droit à l</w:t>
      </w:r>
      <w:r w:rsidR="002257E9">
        <w:t>’</w:t>
      </w:r>
      <w:r w:rsidRPr="000B6220" w:rsidR="00D32471">
        <w:t>objection de conscience (paragraphes 51-55 ci-dessus). De plus, la reconnaissance du droit à l</w:t>
      </w:r>
      <w:r w:rsidR="002257E9">
        <w:t>’</w:t>
      </w:r>
      <w:r w:rsidRPr="000B6220" w:rsidR="00D32471">
        <w:t xml:space="preserve">objection de conscience </w:t>
      </w:r>
      <w:r w:rsidRPr="000B6220" w:rsidR="00C60A48">
        <w:t>est devenue une condition préalable à l</w:t>
      </w:r>
      <w:r w:rsidR="002257E9">
        <w:t>’</w:t>
      </w:r>
      <w:r w:rsidRPr="000B6220" w:rsidR="007C3130">
        <w:t>adhésion de</w:t>
      </w:r>
      <w:r w:rsidRPr="000B6220" w:rsidR="00C60A48">
        <w:t xml:space="preserve"> nouveaux membres à l</w:t>
      </w:r>
      <w:r w:rsidR="002257E9">
        <w:t>’</w:t>
      </w:r>
      <w:r w:rsidRPr="000B6220" w:rsidR="00C60A48">
        <w:t xml:space="preserve">organisation (voir, par exemple, le paragraphe 50 ci-dessus). En 2001, après avoir réitéré ses appels précédents, </w:t>
      </w:r>
      <w:r w:rsidRPr="000B6220" w:rsidR="003469B6">
        <w:t>l</w:t>
      </w:r>
      <w:r w:rsidR="002257E9">
        <w:t>’</w:t>
      </w:r>
      <w:r w:rsidRPr="000B6220" w:rsidR="003469B6">
        <w:t xml:space="preserve">Assemblée parlementaire </w:t>
      </w:r>
      <w:r w:rsidRPr="000B6220" w:rsidR="004E0F8A">
        <w:t xml:space="preserve">a expressément </w:t>
      </w:r>
      <w:r w:rsidRPr="000B6220" w:rsidR="007C3130">
        <w:t>déclaré</w:t>
      </w:r>
      <w:r w:rsidRPr="000B6220" w:rsidR="004E0F8A">
        <w:t xml:space="preserve"> que le droit à l</w:t>
      </w:r>
      <w:r w:rsidR="002257E9">
        <w:t>’</w:t>
      </w:r>
      <w:r w:rsidRPr="000B6220" w:rsidR="004E0F8A">
        <w:t>objection de conscience était un</w:t>
      </w:r>
      <w:r w:rsidRPr="000B6220" w:rsidR="007C3130">
        <w:t>e</w:t>
      </w:r>
      <w:r w:rsidRPr="000B6220" w:rsidR="004E0F8A">
        <w:t xml:space="preserve"> </w:t>
      </w:r>
      <w:r w:rsidRPr="000B6220" w:rsidR="007C3130">
        <w:t>composante</w:t>
      </w:r>
      <w:r w:rsidRPr="000B6220" w:rsidR="004E0F8A">
        <w:t xml:space="preserve"> fondamental</w:t>
      </w:r>
      <w:r w:rsidRPr="000B6220" w:rsidR="007C3130">
        <w:t>e</w:t>
      </w:r>
      <w:r w:rsidRPr="000B6220" w:rsidR="004E0F8A">
        <w:t xml:space="preserve"> du droit à la liberté de pensée, de conscience et de religion </w:t>
      </w:r>
      <w:r w:rsidR="003469B6">
        <w:t>garanti par</w:t>
      </w:r>
      <w:r w:rsidRPr="000B6220" w:rsidR="007C3130">
        <w:t xml:space="preserve"> </w:t>
      </w:r>
      <w:r w:rsidR="00C27424">
        <w:t>la Convention (paragraphe </w:t>
      </w:r>
      <w:r w:rsidRPr="000B6220" w:rsidR="004E0F8A">
        <w:t>52 ci-dessus). En 2010, le Comité des Ministres, s</w:t>
      </w:r>
      <w:r w:rsidR="002257E9">
        <w:t>’</w:t>
      </w:r>
      <w:r w:rsidRPr="000B6220" w:rsidR="004E0F8A">
        <w:t>appuyant sur l</w:t>
      </w:r>
      <w:r w:rsidR="002257E9">
        <w:t>’</w:t>
      </w:r>
      <w:r w:rsidRPr="000B6220" w:rsidR="004E0F8A">
        <w:t>évolution de la jurisprudence du Comité des droits de l</w:t>
      </w:r>
      <w:r w:rsidR="002257E9">
        <w:t>’</w:t>
      </w:r>
      <w:r w:rsidRPr="000B6220" w:rsidR="004E0F8A">
        <w:t xml:space="preserve">homme des Nations unies et </w:t>
      </w:r>
      <w:r w:rsidR="003469B6">
        <w:t xml:space="preserve">sur </w:t>
      </w:r>
      <w:r w:rsidRPr="000B6220" w:rsidR="004E0F8A">
        <w:t>les dispositions de la Charte des droits fondamentaux de l</w:t>
      </w:r>
      <w:r w:rsidR="002257E9">
        <w:t>’</w:t>
      </w:r>
      <w:r w:rsidRPr="000B6220" w:rsidR="004E0F8A">
        <w:t>Union européenne, a aussi confirmé cette interprétation de la notion de liberté de conscience et de religion consacrée par l</w:t>
      </w:r>
      <w:r w:rsidR="002257E9">
        <w:t>’</w:t>
      </w:r>
      <w:r w:rsidRPr="000B6220" w:rsidR="004E0F8A">
        <w:t>article 9</w:t>
      </w:r>
      <w:r w:rsidR="00EB271E">
        <w:t xml:space="preserve"> de la Convention</w:t>
      </w:r>
      <w:r w:rsidRPr="000B6220" w:rsidR="004E0F8A">
        <w:t xml:space="preserve">, et a recommandé </w:t>
      </w:r>
      <w:r w:rsidR="003469B6">
        <w:t>aux</w:t>
      </w:r>
      <w:r w:rsidRPr="000B6220" w:rsidR="004E0F8A">
        <w:t xml:space="preserve"> Etats membres </w:t>
      </w:r>
      <w:r w:rsidR="003469B6">
        <w:t xml:space="preserve">de </w:t>
      </w:r>
      <w:r w:rsidRPr="000B6220" w:rsidR="007C3130">
        <w:t>garanti</w:t>
      </w:r>
      <w:r w:rsidR="003469B6">
        <w:t>r</w:t>
      </w:r>
      <w:r w:rsidRPr="000B6220" w:rsidR="007C3130">
        <w:t xml:space="preserve"> aux appelés </w:t>
      </w:r>
      <w:r w:rsidRPr="000B6220" w:rsidR="004E0F8A">
        <w:t>le droit de bénéficier du statut d</w:t>
      </w:r>
      <w:r w:rsidR="002257E9">
        <w:t>’</w:t>
      </w:r>
      <w:r w:rsidRPr="000B6220" w:rsidR="004E0F8A">
        <w:t xml:space="preserve">objecteur </w:t>
      </w:r>
      <w:r w:rsidR="00C27424">
        <w:t>de conscience (paragraphe 55 ci</w:t>
      </w:r>
      <w:r w:rsidR="00C27424">
        <w:noBreakHyphen/>
      </w:r>
      <w:r w:rsidRPr="000B6220" w:rsidR="004E0F8A">
        <w:t>dessus).</w:t>
      </w:r>
    </w:p>
    <w:p w:rsidRPr="000B6220" w:rsidR="006C5EA6" w:rsidP="00E05F30" w:rsidRDefault="009E2A22">
      <w:pPr>
        <w:pStyle w:val="JuPara"/>
      </w:pPr>
      <w:r>
        <w:fldChar w:fldCharType="begin"/>
      </w:r>
      <w:r>
        <w:instrText xml:space="preserve"> SEQ level0 \*arabic </w:instrText>
      </w:r>
      <w:r>
        <w:fldChar w:fldCharType="separate"/>
      </w:r>
      <w:r w:rsidR="00226498">
        <w:rPr>
          <w:noProof/>
        </w:rPr>
        <w:t>108</w:t>
      </w:r>
      <w:r>
        <w:fldChar w:fldCharType="end"/>
      </w:r>
      <w:r>
        <w:t>.  </w:t>
      </w:r>
      <w:r w:rsidRPr="000B6220" w:rsidR="00F8141D">
        <w:t>La Cour conclut donc que, depuis l</w:t>
      </w:r>
      <w:r w:rsidR="002257E9">
        <w:t>’</w:t>
      </w:r>
      <w:r w:rsidRPr="000B6220" w:rsidR="00F8141D">
        <w:t xml:space="preserve">adoption </w:t>
      </w:r>
      <w:r>
        <w:t xml:space="preserve">par la Commission </w:t>
      </w:r>
      <w:r w:rsidRPr="000B6220" w:rsidR="00F8141D">
        <w:t xml:space="preserve">de la décision </w:t>
      </w:r>
      <w:r w:rsidRPr="000B6220" w:rsidR="00F8141D">
        <w:rPr>
          <w:i/>
        </w:rPr>
        <w:t>Grandrath</w:t>
      </w:r>
      <w:r w:rsidRPr="005E4BB9" w:rsidR="005E4BB9">
        <w:t>, précitée,</w:t>
      </w:r>
      <w:r w:rsidRPr="000B6220" w:rsidR="00F8141D">
        <w:t xml:space="preserve"> et des décisions </w:t>
      </w:r>
      <w:r w:rsidR="009735CC">
        <w:t xml:space="preserve">ultérieures </w:t>
      </w:r>
      <w:r w:rsidRPr="000B6220" w:rsidR="00F8141D">
        <w:t>qui s</w:t>
      </w:r>
      <w:r w:rsidR="002257E9">
        <w:t>’</w:t>
      </w:r>
      <w:r w:rsidRPr="000B6220" w:rsidR="00F8141D">
        <w:t xml:space="preserve">en </w:t>
      </w:r>
      <w:r w:rsidR="005A1B17">
        <w:t>inspir</w:t>
      </w:r>
      <w:r w:rsidR="008C4976">
        <w:t>ai</w:t>
      </w:r>
      <w:r w:rsidR="005A1B17">
        <w:t>ent</w:t>
      </w:r>
      <w:r w:rsidRPr="000B6220" w:rsidR="00F8141D">
        <w:t>, le droit interne de l</w:t>
      </w:r>
      <w:r w:rsidR="002257E9">
        <w:t>’</w:t>
      </w:r>
      <w:r w:rsidR="005A1B17">
        <w:t>immense</w:t>
      </w:r>
      <w:r w:rsidRPr="000B6220" w:rsidR="00F8141D">
        <w:t xml:space="preserve"> majorité des Etats membres du Conseil de l</w:t>
      </w:r>
      <w:r w:rsidR="002257E9">
        <w:t>’</w:t>
      </w:r>
      <w:r w:rsidRPr="000B6220" w:rsidR="00F8141D">
        <w:t>Europe</w:t>
      </w:r>
      <w:r w:rsidR="009735CC">
        <w:t xml:space="preserve"> et</w:t>
      </w:r>
      <w:r w:rsidRPr="000B6220" w:rsidR="00F8141D">
        <w:t xml:space="preserve"> les instru</w:t>
      </w:r>
      <w:r w:rsidR="00D43283">
        <w:t xml:space="preserve">ments internationaux pertinents </w:t>
      </w:r>
      <w:r w:rsidRPr="000B6220" w:rsidR="00F8141D">
        <w:t>ont évolué</w:t>
      </w:r>
      <w:r w:rsidR="00D43283">
        <w:t>,</w:t>
      </w:r>
      <w:r w:rsidRPr="000B6220" w:rsidR="00F8141D">
        <w:t xml:space="preserve"> au point qu</w:t>
      </w:r>
      <w:r w:rsidR="002257E9">
        <w:t>’</w:t>
      </w:r>
      <w:r w:rsidRPr="000B6220" w:rsidR="00F8141D">
        <w:t xml:space="preserve">il existait </w:t>
      </w:r>
      <w:r w:rsidR="005A1B17">
        <w:t>déjà à</w:t>
      </w:r>
      <w:r w:rsidRPr="000B6220" w:rsidR="00F8141D">
        <w:t xml:space="preserve"> l</w:t>
      </w:r>
      <w:r w:rsidR="002257E9">
        <w:t>’</w:t>
      </w:r>
      <w:r w:rsidRPr="000B6220" w:rsidR="00F8141D">
        <w:t xml:space="preserve">époque des faits un consensus quasi général sur la question en Europe et au-delà. Eu égard à </w:t>
      </w:r>
      <w:r w:rsidRPr="000B6220" w:rsidR="007C3130">
        <w:t>cette évolution</w:t>
      </w:r>
      <w:r w:rsidRPr="000B6220" w:rsidR="00F8141D">
        <w:t xml:space="preserve">, on ne </w:t>
      </w:r>
      <w:r w:rsidR="00513028">
        <w:t>peut dire qu</w:t>
      </w:r>
      <w:r w:rsidR="002257E9">
        <w:t>’</w:t>
      </w:r>
      <w:r w:rsidR="00513028">
        <w:t>il n</w:t>
      </w:r>
      <w:r w:rsidR="002257E9">
        <w:t>’</w:t>
      </w:r>
      <w:r w:rsidR="00513028">
        <w:t>était pas possible de prévoir que la manière dont l</w:t>
      </w:r>
      <w:r w:rsidR="002257E9">
        <w:t>’</w:t>
      </w:r>
      <w:r w:rsidR="00513028">
        <w:t xml:space="preserve">article 9 avait jusque-là été interprété serait modifiée </w:t>
      </w:r>
      <w:r w:rsidR="005A1B17">
        <w:t xml:space="preserve">relativement </w:t>
      </w:r>
      <w:r w:rsidR="008C4976">
        <w:t>à des</w:t>
      </w:r>
      <w:r w:rsidR="00D03468">
        <w:t xml:space="preserve"> </w:t>
      </w:r>
      <w:r w:rsidRPr="000B6220" w:rsidR="00F8141D">
        <w:t xml:space="preserve">événements survenus en 2002-2003, </w:t>
      </w:r>
      <w:r w:rsidRPr="000B6220" w:rsidR="007C3130">
        <w:t>d</w:t>
      </w:r>
      <w:r w:rsidR="002257E9">
        <w:t>’</w:t>
      </w:r>
      <w:r w:rsidRPr="000B6220" w:rsidR="007C3130">
        <w:t xml:space="preserve">autant </w:t>
      </w:r>
      <w:r w:rsidRPr="000B6220" w:rsidR="00F8141D">
        <w:t>que l</w:t>
      </w:r>
      <w:r w:rsidR="002257E9">
        <w:t>’</w:t>
      </w:r>
      <w:r w:rsidR="00D43283">
        <w:t>Arménie était elle-</w:t>
      </w:r>
      <w:r w:rsidRPr="000B6220" w:rsidR="00F8141D">
        <w:t xml:space="preserve">même partie au PIDCP et </w:t>
      </w:r>
      <w:r w:rsidR="00D43283">
        <w:t>qu</w:t>
      </w:r>
      <w:r w:rsidR="002257E9">
        <w:t>’</w:t>
      </w:r>
      <w:r w:rsidR="00D43283">
        <w:t xml:space="preserve">elle </w:t>
      </w:r>
      <w:r w:rsidRPr="000B6220" w:rsidR="00F8141D">
        <w:t>s</w:t>
      </w:r>
      <w:r w:rsidR="002257E9">
        <w:t>’</w:t>
      </w:r>
      <w:r w:rsidRPr="000B6220" w:rsidR="00F8141D">
        <w:t>était en outre engagée lors de son adhésion au Conseil de l</w:t>
      </w:r>
      <w:r w:rsidR="002257E9">
        <w:t>’</w:t>
      </w:r>
      <w:r w:rsidRPr="000B6220" w:rsidR="00F8141D">
        <w:t xml:space="preserve">Europe à </w:t>
      </w:r>
      <w:r w:rsidR="005A1B17">
        <w:t>introduire</w:t>
      </w:r>
      <w:r w:rsidRPr="000B6220" w:rsidR="00F8141D">
        <w:t xml:space="preserve"> une loi reconnaissant le droit à l</w:t>
      </w:r>
      <w:r w:rsidR="002257E9">
        <w:t>’</w:t>
      </w:r>
      <w:r w:rsidRPr="000B6220" w:rsidR="00F8141D">
        <w:t>objection de conscience.</w:t>
      </w:r>
    </w:p>
    <w:p w:rsidRPr="000B6220" w:rsidR="00F8141D" w:rsidP="00E05F30" w:rsidRDefault="00F8141D">
      <w:pPr>
        <w:pStyle w:val="JuPara"/>
      </w:pPr>
      <w:r w:rsidRPr="000B6220">
        <w:fldChar w:fldCharType="begin"/>
      </w:r>
      <w:r w:rsidRPr="000B6220">
        <w:instrText xml:space="preserve"> SEQ level0 \*arabic </w:instrText>
      </w:r>
      <w:r w:rsidRPr="000B6220">
        <w:fldChar w:fldCharType="separate"/>
      </w:r>
      <w:r w:rsidR="00226498">
        <w:rPr>
          <w:noProof/>
        </w:rPr>
        <w:t>109</w:t>
      </w:r>
      <w:r w:rsidRPr="000B6220">
        <w:fldChar w:fldCharType="end"/>
      </w:r>
      <w:r w:rsidRPr="000B6220">
        <w:t>.  </w:t>
      </w:r>
      <w:r w:rsidRPr="000B6220" w:rsidR="007C3130">
        <w:t xml:space="preserve">Dès lors, </w:t>
      </w:r>
      <w:r w:rsidR="00C106CC">
        <w:t>compte tenu de</w:t>
      </w:r>
      <w:r w:rsidRPr="000B6220" w:rsidR="00411985">
        <w:t xml:space="preserve"> ce qui précède et conformément à la théorie de </w:t>
      </w:r>
      <w:r w:rsidRPr="000B6220" w:rsidR="001633E5">
        <w:t>« </w:t>
      </w:r>
      <w:r w:rsidRPr="000B6220" w:rsidR="005E4BB9">
        <w:t>l</w:t>
      </w:r>
      <w:r w:rsidR="002257E9">
        <w:t>’</w:t>
      </w:r>
      <w:r w:rsidRPr="000B6220" w:rsidR="00411985">
        <w:t>instrument vivant</w:t>
      </w:r>
      <w:r w:rsidRPr="000B6220" w:rsidR="001633E5">
        <w:t> »</w:t>
      </w:r>
      <w:r w:rsidRPr="000B6220" w:rsidR="00411985">
        <w:t>, la Cour considère qu</w:t>
      </w:r>
      <w:r w:rsidR="002257E9">
        <w:t>’</w:t>
      </w:r>
      <w:r w:rsidRPr="000B6220" w:rsidR="00411985">
        <w:t xml:space="preserve">il </w:t>
      </w:r>
      <w:r w:rsidR="00D03468">
        <w:t>n</w:t>
      </w:r>
      <w:r w:rsidR="002257E9">
        <w:t>’</w:t>
      </w:r>
      <w:r w:rsidR="00D03468">
        <w:t xml:space="preserve">est pas possible de confirmer </w:t>
      </w:r>
      <w:r w:rsidRPr="000B6220" w:rsidR="00411985">
        <w:t>la jurispru</w:t>
      </w:r>
      <w:r w:rsidRPr="000B6220" w:rsidR="001633E5">
        <w:t>dence établie par la Commission</w:t>
      </w:r>
      <w:r w:rsidRPr="000B6220" w:rsidR="00411985">
        <w:t xml:space="preserve"> et qu</w:t>
      </w:r>
      <w:r w:rsidR="002257E9">
        <w:t>’</w:t>
      </w:r>
      <w:r w:rsidRPr="000B6220" w:rsidR="00411985">
        <w:t xml:space="preserve">il </w:t>
      </w:r>
      <w:r w:rsidR="008C4976">
        <w:t>ne faut</w:t>
      </w:r>
      <w:r w:rsidR="005A1B17">
        <w:t xml:space="preserve"> </w:t>
      </w:r>
      <w:r w:rsidRPr="000B6220" w:rsidR="00411985">
        <w:t>plus interpréter l</w:t>
      </w:r>
      <w:r w:rsidR="002257E9">
        <w:t>’</w:t>
      </w:r>
      <w:r w:rsidRPr="000B6220" w:rsidR="00411985">
        <w:t>article 9 à la lumière de l</w:t>
      </w:r>
      <w:r w:rsidR="002257E9">
        <w:t>’</w:t>
      </w:r>
      <w:r w:rsidRPr="000B6220" w:rsidR="00411985">
        <w:t xml:space="preserve">article 4 § 3 b). Partant, elle </w:t>
      </w:r>
      <w:r w:rsidRPr="000B6220" w:rsidR="007C3130">
        <w:t xml:space="preserve">entend </w:t>
      </w:r>
      <w:r w:rsidRPr="000B6220" w:rsidR="00411985">
        <w:t>examiner le grief du requérant sous le seul angle de l</w:t>
      </w:r>
      <w:r w:rsidR="002257E9">
        <w:t>’</w:t>
      </w:r>
      <w:r w:rsidRPr="000B6220" w:rsidR="00411985">
        <w:t>article 9 de la Convention.</w:t>
      </w:r>
    </w:p>
    <w:p w:rsidRPr="000B6220" w:rsidR="00666D1D" w:rsidP="00E05F30" w:rsidRDefault="001633E5">
      <w:pPr>
        <w:pStyle w:val="JuPara"/>
      </w:pPr>
      <w:r w:rsidRPr="000B6220">
        <w:fldChar w:fldCharType="begin"/>
      </w:r>
      <w:r w:rsidRPr="000B6220">
        <w:instrText xml:space="preserve"> SEQ level0 \*arabic </w:instrText>
      </w:r>
      <w:r w:rsidRPr="000B6220">
        <w:fldChar w:fldCharType="separate"/>
      </w:r>
      <w:r w:rsidR="00226498">
        <w:rPr>
          <w:noProof/>
        </w:rPr>
        <w:t>110</w:t>
      </w:r>
      <w:r w:rsidRPr="000B6220">
        <w:fldChar w:fldCharType="end"/>
      </w:r>
      <w:r w:rsidRPr="000B6220">
        <w:t>.  </w:t>
      </w:r>
      <w:r w:rsidRPr="000B6220" w:rsidR="007C3130">
        <w:t>A cet égard, l</w:t>
      </w:r>
      <w:r w:rsidRPr="000B6220">
        <w:t>a Cour relève que l</w:t>
      </w:r>
      <w:r w:rsidR="002257E9">
        <w:t>’</w:t>
      </w:r>
      <w:r w:rsidRPr="000B6220">
        <w:t>article 9 ne mentionne pas expressément le droit à l</w:t>
      </w:r>
      <w:r w:rsidR="002257E9">
        <w:t>’</w:t>
      </w:r>
      <w:r w:rsidRPr="000B6220">
        <w:t>objection de conscience. Elle considère toutefois que l</w:t>
      </w:r>
      <w:r w:rsidR="002257E9">
        <w:t>’</w:t>
      </w:r>
      <w:r w:rsidRPr="000B6220">
        <w:t>opposition au service militaire, lorsqu</w:t>
      </w:r>
      <w:r w:rsidR="002257E9">
        <w:t>’</w:t>
      </w:r>
      <w:r w:rsidR="00DA3CF6">
        <w:t>elle</w:t>
      </w:r>
      <w:r w:rsidRPr="000B6220">
        <w:t xml:space="preserve"> est motivée par un conflit grave et insurmontable entre l</w:t>
      </w:r>
      <w:r w:rsidR="002257E9">
        <w:t>’</w:t>
      </w:r>
      <w:r w:rsidRPr="000B6220">
        <w:t>obligation de servir dans l</w:t>
      </w:r>
      <w:r w:rsidR="002257E9">
        <w:t>’</w:t>
      </w:r>
      <w:r w:rsidRPr="000B6220">
        <w:t>armée et la conscience d</w:t>
      </w:r>
      <w:r w:rsidR="002257E9">
        <w:t>’</w:t>
      </w:r>
      <w:r w:rsidRPr="000B6220">
        <w:t>une personne ou ses convictions sincères et profondes</w:t>
      </w:r>
      <w:r w:rsidR="00DA3CF6">
        <w:t>,</w:t>
      </w:r>
      <w:r w:rsidRPr="000B6220">
        <w:t xml:space="preserve"> </w:t>
      </w:r>
      <w:r w:rsidRPr="000B6220" w:rsidR="008A4F36">
        <w:t>de nature</w:t>
      </w:r>
      <w:r w:rsidRPr="000B6220">
        <w:t xml:space="preserve"> religieu</w:t>
      </w:r>
      <w:r w:rsidRPr="000B6220" w:rsidR="008A4F36">
        <w:t>se</w:t>
      </w:r>
      <w:r w:rsidRPr="000B6220">
        <w:t xml:space="preserve"> ou autre, constitue une conviction </w:t>
      </w:r>
      <w:r w:rsidRPr="000B6220" w:rsidR="007C3130">
        <w:t xml:space="preserve">atteignant un degré </w:t>
      </w:r>
      <w:r w:rsidRPr="000B6220">
        <w:t>suffisa</w:t>
      </w:r>
      <w:r w:rsidRPr="000B6220" w:rsidR="007C3130">
        <w:t>nt de force</w:t>
      </w:r>
      <w:r w:rsidRPr="000B6220">
        <w:t xml:space="preserve">, </w:t>
      </w:r>
      <w:r w:rsidRPr="000B6220" w:rsidR="007C3130">
        <w:t xml:space="preserve">de </w:t>
      </w:r>
      <w:r w:rsidRPr="000B6220">
        <w:t>sérieu</w:t>
      </w:r>
      <w:r w:rsidRPr="000B6220" w:rsidR="007C3130">
        <w:t>x</w:t>
      </w:r>
      <w:r w:rsidRPr="000B6220">
        <w:t xml:space="preserve">, </w:t>
      </w:r>
      <w:r w:rsidRPr="000B6220" w:rsidR="007C3130">
        <w:t>de cohérenc</w:t>
      </w:r>
      <w:r w:rsidRPr="000B6220">
        <w:t xml:space="preserve">e et </w:t>
      </w:r>
      <w:r w:rsidRPr="000B6220" w:rsidR="007C3130">
        <w:t>d</w:t>
      </w:r>
      <w:r w:rsidR="002257E9">
        <w:t>’</w:t>
      </w:r>
      <w:r w:rsidRPr="000B6220" w:rsidR="007C3130">
        <w:t>importanc</w:t>
      </w:r>
      <w:r w:rsidRPr="000B6220">
        <w:t xml:space="preserve">e pour </w:t>
      </w:r>
      <w:r w:rsidRPr="000B6220" w:rsidR="0007098E">
        <w:t>entraîner l</w:t>
      </w:r>
      <w:r w:rsidR="002257E9">
        <w:t>’</w:t>
      </w:r>
      <w:r w:rsidRPr="000B6220" w:rsidR="0007098E">
        <w:t xml:space="preserve">application des garanties </w:t>
      </w:r>
      <w:r w:rsidRPr="000B6220">
        <w:t>de l</w:t>
      </w:r>
      <w:r w:rsidR="002257E9">
        <w:t>’</w:t>
      </w:r>
      <w:r w:rsidRPr="000B6220">
        <w:t xml:space="preserve">article 9 (voir, </w:t>
      </w:r>
      <w:r w:rsidRPr="000B6220">
        <w:rPr>
          <w:i/>
        </w:rPr>
        <w:t>mutatis mutandis</w:t>
      </w:r>
      <w:r w:rsidRPr="000B6220">
        <w:t xml:space="preserve">, </w:t>
      </w:r>
      <w:r w:rsidR="00C27424">
        <w:rPr>
          <w:i/>
        </w:rPr>
        <w:t xml:space="preserve">Campbell et Cosans c. </w:t>
      </w:r>
      <w:r w:rsidRPr="000B6220">
        <w:rPr>
          <w:i/>
        </w:rPr>
        <w:t>Royaume-Uni</w:t>
      </w:r>
      <w:r w:rsidRPr="000B6220">
        <w:t>, 25 février 1982, § 36, série A n</w:t>
      </w:r>
      <w:r w:rsidRPr="000B6220">
        <w:rPr>
          <w:vertAlign w:val="superscript"/>
        </w:rPr>
        <w:t>o</w:t>
      </w:r>
      <w:r w:rsidRPr="000B6220">
        <w:t xml:space="preserve"> 48, et, </w:t>
      </w:r>
      <w:r w:rsidR="00F94336">
        <w:rPr>
          <w:i/>
        </w:rPr>
        <w:t>a </w:t>
      </w:r>
      <w:r w:rsidRPr="000B6220">
        <w:rPr>
          <w:i/>
        </w:rPr>
        <w:t>contrario</w:t>
      </w:r>
      <w:r w:rsidRPr="000B6220">
        <w:t xml:space="preserve">, </w:t>
      </w:r>
      <w:r w:rsidR="00C27424">
        <w:rPr>
          <w:i/>
        </w:rPr>
        <w:t xml:space="preserve">Pretty c. </w:t>
      </w:r>
      <w:r w:rsidRPr="000B6220">
        <w:rPr>
          <w:i/>
        </w:rPr>
        <w:t>Royaume-Uni</w:t>
      </w:r>
      <w:r w:rsidRPr="000B6220">
        <w:t>, n</w:t>
      </w:r>
      <w:r w:rsidRPr="000B6220">
        <w:rPr>
          <w:vertAlign w:val="superscript"/>
        </w:rPr>
        <w:t>o</w:t>
      </w:r>
      <w:r w:rsidRPr="000B6220" w:rsidR="008A4F36">
        <w:t> </w:t>
      </w:r>
      <w:r w:rsidRPr="000B6220">
        <w:t>2346/02, § 82, CEDH 2002</w:t>
      </w:r>
      <w:r w:rsidRPr="000B6220">
        <w:noBreakHyphen/>
        <w:t>III</w:t>
      </w:r>
      <w:r w:rsidRPr="000B6220" w:rsidR="008A4F36">
        <w:t>). Quant à savoir si et dans quelle mesure l</w:t>
      </w:r>
      <w:r w:rsidR="002257E9">
        <w:t>’</w:t>
      </w:r>
      <w:r w:rsidRPr="000B6220" w:rsidR="008A4F36">
        <w:t xml:space="preserve">objection au service militaire relève de cette disposition, </w:t>
      </w:r>
      <w:r w:rsidR="00DA3CF6">
        <w:t>la question doit être tranchée</w:t>
      </w:r>
      <w:r w:rsidRPr="000B6220" w:rsidR="008A4F36">
        <w:t xml:space="preserve"> en fonction des circonstances propre</w:t>
      </w:r>
      <w:r w:rsidRPr="000B6220" w:rsidR="0007098E">
        <w:t>s</w:t>
      </w:r>
      <w:r w:rsidRPr="000B6220" w:rsidR="008A4F36">
        <w:t xml:space="preserve"> à chaque affaire.</w:t>
      </w:r>
    </w:p>
    <w:p w:rsidRPr="000B6220" w:rsidR="00666D1D" w:rsidP="00E05F30" w:rsidRDefault="008A4F36">
      <w:pPr>
        <w:pStyle w:val="JuPara"/>
      </w:pPr>
      <w:r w:rsidRPr="000B6220">
        <w:fldChar w:fldCharType="begin"/>
      </w:r>
      <w:r w:rsidRPr="000B6220">
        <w:instrText xml:space="preserve"> SEQ level0 \*arabic </w:instrText>
      </w:r>
      <w:r w:rsidRPr="000B6220">
        <w:fldChar w:fldCharType="separate"/>
      </w:r>
      <w:r w:rsidR="00226498">
        <w:rPr>
          <w:noProof/>
        </w:rPr>
        <w:t>111</w:t>
      </w:r>
      <w:r w:rsidRPr="000B6220">
        <w:fldChar w:fldCharType="end"/>
      </w:r>
      <w:r w:rsidRPr="000B6220">
        <w:t>.  </w:t>
      </w:r>
      <w:r w:rsidR="00DA3CF6">
        <w:t>L</w:t>
      </w:r>
      <w:r w:rsidRPr="000B6220">
        <w:t>e requérant</w:t>
      </w:r>
      <w:r w:rsidR="00DA3CF6">
        <w:t xml:space="preserve"> e</w:t>
      </w:r>
      <w:r w:rsidRPr="000B6220" w:rsidR="00DA3CF6">
        <w:t>n l</w:t>
      </w:r>
      <w:r w:rsidR="002257E9">
        <w:t>’</w:t>
      </w:r>
      <w:r w:rsidRPr="000B6220" w:rsidR="00DA3CF6">
        <w:t>espèce</w:t>
      </w:r>
      <w:r w:rsidRPr="000B6220">
        <w:t xml:space="preserve"> fait partie des témoins de Jéhovah, groupe religieux dont les croyances comporte</w:t>
      </w:r>
      <w:r w:rsidRPr="000B6220" w:rsidR="00CB6BA5">
        <w:t>nt</w:t>
      </w:r>
      <w:r w:rsidRPr="000B6220">
        <w:t xml:space="preserve"> la conviction qu</w:t>
      </w:r>
      <w:r w:rsidR="002257E9">
        <w:t>’</w:t>
      </w:r>
      <w:r w:rsidRPr="000B6220">
        <w:t>il y a lieu de s</w:t>
      </w:r>
      <w:r w:rsidR="002257E9">
        <w:t>’</w:t>
      </w:r>
      <w:r w:rsidRPr="000B6220">
        <w:t xml:space="preserve">opposer au service militaire, </w:t>
      </w:r>
      <w:r w:rsidR="00DA3CF6">
        <w:t>indépendamment de</w:t>
      </w:r>
      <w:r w:rsidRPr="000B6220">
        <w:t xml:space="preserve"> </w:t>
      </w:r>
      <w:r w:rsidRPr="000B6220" w:rsidR="00CB6BA5">
        <w:t xml:space="preserve">la nécessité de </w:t>
      </w:r>
      <w:r w:rsidRPr="000B6220">
        <w:t xml:space="preserve">porter les armes. </w:t>
      </w:r>
      <w:r w:rsidRPr="000B6220" w:rsidR="0007098E">
        <w:t xml:space="preserve">Par conséquent, </w:t>
      </w:r>
      <w:r w:rsidRPr="000B6220">
        <w:t>la Cour n</w:t>
      </w:r>
      <w:r w:rsidR="002257E9">
        <w:t>’</w:t>
      </w:r>
      <w:r w:rsidRPr="000B6220">
        <w:t xml:space="preserve">a </w:t>
      </w:r>
      <w:r w:rsidR="00DA3CF6">
        <w:t>aucune</w:t>
      </w:r>
      <w:r w:rsidRPr="000B6220">
        <w:t xml:space="preserve"> raison de douter que l</w:t>
      </w:r>
      <w:r w:rsidR="002257E9">
        <w:t>’</w:t>
      </w:r>
      <w:r w:rsidRPr="000B6220">
        <w:t xml:space="preserve">objection du requérant au service militaire </w:t>
      </w:r>
      <w:r w:rsidR="00DE6075">
        <w:t>fût motivée par d</w:t>
      </w:r>
      <w:r w:rsidRPr="000B6220">
        <w:t xml:space="preserve">es convictions religieuses sincères </w:t>
      </w:r>
      <w:r w:rsidR="00DE6075">
        <w:t>qui</w:t>
      </w:r>
      <w:r w:rsidRPr="000B6220">
        <w:t xml:space="preserve"> </w:t>
      </w:r>
      <w:r w:rsidR="00C106CC">
        <w:t>entraient en</w:t>
      </w:r>
      <w:r w:rsidRPr="000B6220">
        <w:t xml:space="preserve"> conflit</w:t>
      </w:r>
      <w:r w:rsidR="00C106CC">
        <w:t>, de manière</w:t>
      </w:r>
      <w:r w:rsidRPr="000B6220">
        <w:t xml:space="preserve"> </w:t>
      </w:r>
      <w:r w:rsidR="00C106CC">
        <w:t xml:space="preserve">sérieuse </w:t>
      </w:r>
      <w:r w:rsidRPr="000B6220">
        <w:t>et insurmontable</w:t>
      </w:r>
      <w:r w:rsidR="00C106CC">
        <w:t>,</w:t>
      </w:r>
      <w:r w:rsidRPr="000B6220">
        <w:t xml:space="preserve"> avec son obligation d</w:t>
      </w:r>
      <w:r w:rsidR="002257E9">
        <w:t>’</w:t>
      </w:r>
      <w:r w:rsidRPr="000B6220">
        <w:t xml:space="preserve">effectuer le service militaire. </w:t>
      </w:r>
      <w:r w:rsidRPr="000B6220" w:rsidR="00CB6BA5">
        <w:t>C</w:t>
      </w:r>
      <w:r w:rsidR="002257E9">
        <w:t>’</w:t>
      </w:r>
      <w:r w:rsidRPr="000B6220" w:rsidR="00CB6BA5">
        <w:t>est pourquoi</w:t>
      </w:r>
      <w:r w:rsidRPr="000B6220">
        <w:t xml:space="preserve">, contrairement à ce </w:t>
      </w:r>
      <w:r w:rsidR="00DE6075">
        <w:t>que soutient</w:t>
      </w:r>
      <w:r w:rsidRPr="000B6220">
        <w:t xml:space="preserve"> le Gouvernement (paragraphe 81 ci-dessus), </w:t>
      </w:r>
      <w:r w:rsidRPr="000B6220" w:rsidR="00CB6BA5">
        <w:t>il faut distinguer la situation du requérant de celle d</w:t>
      </w:r>
      <w:r w:rsidR="002257E9">
        <w:t>’</w:t>
      </w:r>
      <w:r w:rsidRPr="000B6220" w:rsidR="00CB6BA5">
        <w:t>une personne qui se trouverait face à une obligation n</w:t>
      </w:r>
      <w:r w:rsidR="002257E9">
        <w:t>’</w:t>
      </w:r>
      <w:r w:rsidRPr="000B6220" w:rsidR="00CB6BA5">
        <w:t xml:space="preserve">ayant </w:t>
      </w:r>
      <w:r w:rsidRPr="000B6220" w:rsidR="0007098E">
        <w:t xml:space="preserve">en soi </w:t>
      </w:r>
      <w:r w:rsidRPr="000B6220" w:rsidR="00CB6BA5">
        <w:t>aucune incidence sur le plan de la conscience, comme l</w:t>
      </w:r>
      <w:r w:rsidR="002257E9">
        <w:t>’</w:t>
      </w:r>
      <w:r w:rsidRPr="000B6220" w:rsidR="00CB6BA5">
        <w:t>obligation générale de payer des impôts (</w:t>
      </w:r>
      <w:r w:rsidR="00C106CC">
        <w:rPr>
          <w:i/>
        </w:rPr>
        <w:t>C. c. </w:t>
      </w:r>
      <w:r w:rsidRPr="000B6220" w:rsidR="00CB6BA5">
        <w:rPr>
          <w:i/>
        </w:rPr>
        <w:t>Royaume-Uni</w:t>
      </w:r>
      <w:r w:rsidRPr="000B6220" w:rsidR="0007098E">
        <w:t>, n</w:t>
      </w:r>
      <w:r w:rsidRPr="00E40C8E" w:rsidR="00E40C8E">
        <w:rPr>
          <w:vertAlign w:val="superscript"/>
        </w:rPr>
        <w:t>o</w:t>
      </w:r>
      <w:r w:rsidR="00C27424">
        <w:t xml:space="preserve"> </w:t>
      </w:r>
      <w:r w:rsidRPr="000B6220" w:rsidR="00CB6BA5">
        <w:t>10358/83, décision de la Commission du</w:t>
      </w:r>
      <w:r w:rsidR="00C106CC">
        <w:t xml:space="preserve"> 15 </w:t>
      </w:r>
      <w:r w:rsidR="00C27424">
        <w:t xml:space="preserve">décembre 1983, DR 37, p. </w:t>
      </w:r>
      <w:r w:rsidRPr="000B6220" w:rsidR="00047874">
        <w:t>148</w:t>
      </w:r>
      <w:r w:rsidRPr="000B6220" w:rsidR="00CB6BA5">
        <w:t>). Partant, l</w:t>
      </w:r>
      <w:r w:rsidR="002257E9">
        <w:t>’</w:t>
      </w:r>
      <w:r w:rsidRPr="000B6220" w:rsidR="00CB6BA5">
        <w:t>article 9 trouve à s</w:t>
      </w:r>
      <w:r w:rsidR="002257E9">
        <w:t>’</w:t>
      </w:r>
      <w:r w:rsidRPr="000B6220" w:rsidR="00CB6BA5">
        <w:t>appliquer en l</w:t>
      </w:r>
      <w:r w:rsidR="002257E9">
        <w:t>’</w:t>
      </w:r>
      <w:r w:rsidRPr="000B6220" w:rsidR="00CB6BA5">
        <w:t>espèce.</w:t>
      </w:r>
    </w:p>
    <w:p w:rsidRPr="000B6220" w:rsidR="006C5B9E" w:rsidP="00E05F30" w:rsidRDefault="006C5B9E">
      <w:pPr>
        <w:pStyle w:val="JuH1"/>
      </w:pPr>
      <w:r w:rsidRPr="000B6220">
        <w:t>2.  </w:t>
      </w:r>
      <w:r w:rsidRPr="000B6220" w:rsidR="00E71F66">
        <w:t>Observation de l</w:t>
      </w:r>
      <w:r w:rsidR="002257E9">
        <w:t>’</w:t>
      </w:r>
      <w:r w:rsidRPr="000B6220" w:rsidR="00E71F66">
        <w:t>article 9</w:t>
      </w:r>
    </w:p>
    <w:p w:rsidRPr="000B6220" w:rsidR="00E71F66" w:rsidP="00E05F30" w:rsidRDefault="00E71F66">
      <w:pPr>
        <w:pStyle w:val="JuHa0"/>
      </w:pPr>
      <w:r w:rsidRPr="000B6220">
        <w:t>a)  Existence d</w:t>
      </w:r>
      <w:r w:rsidR="002257E9">
        <w:t>’</w:t>
      </w:r>
      <w:r w:rsidRPr="000B6220">
        <w:t>une ingérence</w:t>
      </w:r>
    </w:p>
    <w:p w:rsidRPr="000B6220" w:rsidR="00F91EDF"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112</w:t>
      </w:r>
      <w:r w:rsidRPr="000B6220">
        <w:fldChar w:fldCharType="end"/>
      </w:r>
      <w:r w:rsidRPr="000B6220" w:rsidR="006C5B9E">
        <w:t>.  </w:t>
      </w:r>
      <w:r w:rsidRPr="000B6220" w:rsidR="001633E5">
        <w:t xml:space="preserve">La Cour </w:t>
      </w:r>
      <w:r w:rsidR="009D1592">
        <w:t>voit dans</w:t>
      </w:r>
      <w:r w:rsidRPr="000B6220" w:rsidR="00AD269D">
        <w:t xml:space="preserve"> le fait que le requérant n</w:t>
      </w:r>
      <w:r w:rsidR="002257E9">
        <w:t>’</w:t>
      </w:r>
      <w:r w:rsidR="009D1592">
        <w:t>a</w:t>
      </w:r>
      <w:r w:rsidRPr="000B6220" w:rsidR="00AD269D">
        <w:t xml:space="preserve"> pas répondu à la convocation au service militaire une manifestation de</w:t>
      </w:r>
      <w:r w:rsidR="00C106CC">
        <w:t xml:space="preserve"> ses convictions religieuses. La</w:t>
      </w:r>
      <w:r w:rsidRPr="000B6220" w:rsidR="00AD269D">
        <w:t xml:space="preserve"> condamnation </w:t>
      </w:r>
      <w:r w:rsidR="00C106CC">
        <w:t>de l</w:t>
      </w:r>
      <w:r w:rsidR="002257E9">
        <w:t>’</w:t>
      </w:r>
      <w:r w:rsidR="00C106CC">
        <w:t xml:space="preserve">intéressé </w:t>
      </w:r>
      <w:r w:rsidRPr="000B6220" w:rsidR="00AD269D">
        <w:t>pour s</w:t>
      </w:r>
      <w:r w:rsidR="002257E9">
        <w:t>’</w:t>
      </w:r>
      <w:r w:rsidRPr="000B6220" w:rsidR="00AD269D">
        <w:t xml:space="preserve">être soustrait à ses obligations militaires </w:t>
      </w:r>
      <w:r w:rsidR="00DE6075">
        <w:t>s</w:t>
      </w:r>
      <w:r w:rsidR="002257E9">
        <w:t>’</w:t>
      </w:r>
      <w:r w:rsidR="00DE6075">
        <w:t>analyse</w:t>
      </w:r>
      <w:r w:rsidRPr="000B6220" w:rsidR="00AD269D">
        <w:t xml:space="preserve"> donc </w:t>
      </w:r>
      <w:r w:rsidR="00DE6075">
        <w:t>en</w:t>
      </w:r>
      <w:r w:rsidRPr="000B6220" w:rsidR="00AD269D">
        <w:t xml:space="preserve"> une ingérence dans </w:t>
      </w:r>
      <w:r w:rsidR="00DE6075">
        <w:t>l</w:t>
      </w:r>
      <w:r w:rsidR="002257E9">
        <w:t>’</w:t>
      </w:r>
      <w:r w:rsidR="00DE6075">
        <w:t xml:space="preserve">exercice par lui de </w:t>
      </w:r>
      <w:r w:rsidR="00BC19D6">
        <w:t>s</w:t>
      </w:r>
      <w:r w:rsidRPr="000B6220" w:rsidR="00AD269D">
        <w:t>a liberté de manifester sa religion telle que garantie par l</w:t>
      </w:r>
      <w:r w:rsidR="002257E9">
        <w:t>’</w:t>
      </w:r>
      <w:r w:rsidR="00D24327">
        <w:t>article 9 </w:t>
      </w:r>
      <w:r w:rsidR="000E157F">
        <w:t>§ </w:t>
      </w:r>
      <w:r w:rsidRPr="000B6220" w:rsidR="00AD269D">
        <w:t xml:space="preserve">1. </w:t>
      </w:r>
      <w:r w:rsidRPr="000B6220" w:rsidR="00F91EDF">
        <w:t>Pareille ingérence enfreint</w:t>
      </w:r>
      <w:r w:rsidRPr="000B6220" w:rsidR="00AD269D">
        <w:t xml:space="preserve"> l</w:t>
      </w:r>
      <w:r w:rsidR="002257E9">
        <w:t>’</w:t>
      </w:r>
      <w:r w:rsidRPr="000B6220" w:rsidR="00AD269D">
        <w:t>article 9 sauf si elle est « prévue par la loi »</w:t>
      </w:r>
      <w:r w:rsidRPr="000B6220" w:rsidR="00F91EDF">
        <w:t xml:space="preserve">, </w:t>
      </w:r>
      <w:r w:rsidR="00DE6075">
        <w:t>tournée</w:t>
      </w:r>
      <w:r w:rsidRPr="000B6220" w:rsidR="00F91EDF">
        <w:t xml:space="preserve"> vers un ou des buts légitimes</w:t>
      </w:r>
      <w:r w:rsidRPr="000B6220" w:rsidR="00AD269D">
        <w:t xml:space="preserve"> au regard du paragraphe 2 et « nécessaire</w:t>
      </w:r>
      <w:r w:rsidRPr="000B6220" w:rsidR="00F91EDF">
        <w:t xml:space="preserve"> </w:t>
      </w:r>
      <w:r w:rsidRPr="000B6220" w:rsidR="00AD269D">
        <w:t xml:space="preserve">dans une société démocratique » (voir, entre autres, </w:t>
      </w:r>
      <w:r w:rsidRPr="000B6220" w:rsidR="00AD269D">
        <w:rPr>
          <w:i/>
        </w:rPr>
        <w:t>Buscarini et autres c. Saint-Marin</w:t>
      </w:r>
      <w:r w:rsidRPr="000B6220" w:rsidR="00AD269D">
        <w:t xml:space="preserve"> [GC], n</w:t>
      </w:r>
      <w:r w:rsidRPr="000B6220" w:rsidR="00AD269D">
        <w:rPr>
          <w:vertAlign w:val="superscript"/>
        </w:rPr>
        <w:t>o</w:t>
      </w:r>
      <w:r w:rsidRPr="000B6220" w:rsidR="00AD269D">
        <w:t xml:space="preserve"> 24645/94, § 34, CEDH 1999</w:t>
      </w:r>
      <w:r w:rsidRPr="000B6220" w:rsidR="00AD269D">
        <w:noBreakHyphen/>
        <w:t>I).</w:t>
      </w:r>
    </w:p>
    <w:p w:rsidRPr="000B6220" w:rsidR="00E71F66" w:rsidP="00E05F30" w:rsidRDefault="00E71F66">
      <w:pPr>
        <w:pStyle w:val="JuHa0"/>
      </w:pPr>
      <w:r w:rsidRPr="000B6220">
        <w:t>b)  Justification de l</w:t>
      </w:r>
      <w:r w:rsidR="002257E9">
        <w:t>’</w:t>
      </w:r>
      <w:r w:rsidRPr="000B6220">
        <w:t>ingérence</w:t>
      </w:r>
    </w:p>
    <w:p w:rsidRPr="000B6220" w:rsidR="00E71F66" w:rsidP="00E05F30" w:rsidRDefault="00E71F66">
      <w:pPr>
        <w:pStyle w:val="JuHi"/>
      </w:pPr>
      <w:r w:rsidRPr="000B6220">
        <w:t>i.  Prévue par la loi</w:t>
      </w:r>
    </w:p>
    <w:p w:rsidRPr="000B6220" w:rsidR="00B80EF1" w:rsidP="00E05F30" w:rsidRDefault="000B64B9">
      <w:pPr>
        <w:pStyle w:val="JuPara"/>
      </w:pPr>
      <w:r w:rsidRPr="000B6220">
        <w:fldChar w:fldCharType="begin"/>
      </w:r>
      <w:r w:rsidRPr="000B6220">
        <w:instrText xml:space="preserve"> SEQ level0 \*arabic </w:instrText>
      </w:r>
      <w:r w:rsidRPr="000B6220">
        <w:fldChar w:fldCharType="separate"/>
      </w:r>
      <w:r w:rsidR="00226498">
        <w:rPr>
          <w:noProof/>
        </w:rPr>
        <w:t>113</w:t>
      </w:r>
      <w:r w:rsidRPr="000B6220">
        <w:fldChar w:fldCharType="end"/>
      </w:r>
      <w:r w:rsidRPr="000B6220">
        <w:t>.  </w:t>
      </w:r>
      <w:r w:rsidRPr="000B6220" w:rsidR="00B80EF1">
        <w:t xml:space="preserve">La Cour rappelle </w:t>
      </w:r>
      <w:r w:rsidRPr="000B6220" w:rsidR="004D09CF">
        <w:t xml:space="preserve">que, selon </w:t>
      </w:r>
      <w:r w:rsidRPr="000B6220" w:rsidR="00B80EF1">
        <w:t>sa jurisprudence constante</w:t>
      </w:r>
      <w:r w:rsidRPr="000B6220" w:rsidR="004D09CF">
        <w:t>,</w:t>
      </w:r>
      <w:r w:rsidRPr="000B6220" w:rsidR="00B80EF1">
        <w:t xml:space="preserve"> les mots </w:t>
      </w:r>
      <w:r w:rsidRPr="00842AAA" w:rsidR="00B80EF1">
        <w:t>« prévue par la loi » veulent d</w:t>
      </w:r>
      <w:r w:rsidR="002257E9">
        <w:t>’</w:t>
      </w:r>
      <w:r w:rsidRPr="00842AAA" w:rsidR="00B80EF1">
        <w:t>abord que la mesure incriminée</w:t>
      </w:r>
      <w:r w:rsidRPr="00842AAA" w:rsidR="004D09CF">
        <w:t xml:space="preserve"> ait une base en droit interne</w:t>
      </w:r>
      <w:r w:rsidRPr="00842AAA" w:rsidR="00C106CC">
        <w:t>,</w:t>
      </w:r>
      <w:r w:rsidRPr="00842AAA" w:rsidR="004D09CF">
        <w:t xml:space="preserve"> mais i</w:t>
      </w:r>
      <w:r w:rsidRPr="00842AAA" w:rsidR="00B80EF1">
        <w:t>ls ont trait au</w:t>
      </w:r>
      <w:r w:rsidRPr="000B6220" w:rsidR="00B80EF1">
        <w:t>ssi à la qualité de la loi en question : ils exigent l</w:t>
      </w:r>
      <w:r w:rsidR="002257E9">
        <w:t>’</w:t>
      </w:r>
      <w:r w:rsidRPr="000B6220" w:rsidR="00B80EF1">
        <w:t>accessibilité de celle-ci aux personnes concernées et une formulation assez précise pour leur permettre – en s</w:t>
      </w:r>
      <w:r w:rsidR="002257E9">
        <w:t>’</w:t>
      </w:r>
      <w:r w:rsidRPr="000B6220" w:rsidR="00B80EF1">
        <w:t>entourant, au besoin, de conseils éclairés – de prévoir, à un degré raisonnable dans les circonstances de la cause, les conséquences pouvant résulter d</w:t>
      </w:r>
      <w:r w:rsidR="002257E9">
        <w:t>’</w:t>
      </w:r>
      <w:r w:rsidRPr="000B6220" w:rsidR="00B80EF1">
        <w:t>un acte déterminé et de régler leur conduite (</w:t>
      </w:r>
      <w:r w:rsidRPr="000B6220" w:rsidR="0007098E">
        <w:t xml:space="preserve">voir, entre autres, </w:t>
      </w:r>
      <w:r w:rsidRPr="000B6220" w:rsidR="00B80EF1">
        <w:rPr>
          <w:i/>
        </w:rPr>
        <w:t>Gorzelik</w:t>
      </w:r>
      <w:r w:rsidR="00C27424">
        <w:rPr>
          <w:i/>
        </w:rPr>
        <w:t xml:space="preserve"> et autres c. </w:t>
      </w:r>
      <w:r w:rsidRPr="000B6220" w:rsidR="00B80EF1">
        <w:rPr>
          <w:i/>
        </w:rPr>
        <w:t xml:space="preserve">Pologne </w:t>
      </w:r>
      <w:r w:rsidRPr="000B6220" w:rsidR="00B80EF1">
        <w:t>[GC], n</w:t>
      </w:r>
      <w:r w:rsidRPr="000B6220" w:rsidR="00B80EF1">
        <w:rPr>
          <w:vertAlign w:val="superscript"/>
        </w:rPr>
        <w:t>o</w:t>
      </w:r>
      <w:r w:rsidRPr="000B6220" w:rsidR="00B80EF1">
        <w:t xml:space="preserve"> 44158/98, § 64, CEDH 2004</w:t>
      </w:r>
      <w:r w:rsidRPr="000B6220" w:rsidR="00B80EF1">
        <w:noBreakHyphen/>
        <w:t>I).</w:t>
      </w:r>
    </w:p>
    <w:p w:rsidRPr="000B6220" w:rsidR="00B80EF1" w:rsidP="00E05F30" w:rsidRDefault="00B80EF1">
      <w:pPr>
        <w:pStyle w:val="JuPara"/>
      </w:pPr>
      <w:r w:rsidRPr="000B6220">
        <w:fldChar w:fldCharType="begin"/>
      </w:r>
      <w:r w:rsidRPr="000B6220">
        <w:instrText xml:space="preserve"> SEQ level0 \*arabic </w:instrText>
      </w:r>
      <w:r w:rsidRPr="000B6220">
        <w:fldChar w:fldCharType="separate"/>
      </w:r>
      <w:r w:rsidR="00226498">
        <w:rPr>
          <w:noProof/>
        </w:rPr>
        <w:t>114</w:t>
      </w:r>
      <w:r w:rsidRPr="000B6220">
        <w:fldChar w:fldCharType="end"/>
      </w:r>
      <w:r w:rsidRPr="000B6220">
        <w:t>.  </w:t>
      </w:r>
      <w:r w:rsidRPr="000B6220" w:rsidR="000F7E77">
        <w:t>La Cour observe que le requérant a été condamné sur le fondement de l</w:t>
      </w:r>
      <w:r w:rsidR="002257E9">
        <w:t>’</w:t>
      </w:r>
      <w:r w:rsidRPr="000B6220" w:rsidR="000F7E77">
        <w:t xml:space="preserve">article 75 du code pénal, </w:t>
      </w:r>
      <w:r w:rsidR="00735090">
        <w:t>tel qu</w:t>
      </w:r>
      <w:r w:rsidR="002257E9">
        <w:t>’</w:t>
      </w:r>
      <w:r w:rsidRPr="000B6220" w:rsidR="000F7E77">
        <w:t>en vigueur à l</w:t>
      </w:r>
      <w:r w:rsidR="002257E9">
        <w:t>’</w:t>
      </w:r>
      <w:r w:rsidRPr="000B6220" w:rsidR="000F7E77">
        <w:t>époque</w:t>
      </w:r>
      <w:r w:rsidR="00842AAA">
        <w:t xml:space="preserve"> des faits</w:t>
      </w:r>
      <w:r w:rsidRPr="000B6220" w:rsidR="000F7E77">
        <w:t xml:space="preserve">, qui sanctionnait la soustraction aux obligations militaires. Elle note aussi que, au moment de la condamnation </w:t>
      </w:r>
      <w:r w:rsidR="00842AAA">
        <w:t>de l</w:t>
      </w:r>
      <w:r w:rsidR="002257E9">
        <w:t>’</w:t>
      </w:r>
      <w:r w:rsidR="00842AAA">
        <w:t>intéressé</w:t>
      </w:r>
      <w:r w:rsidRPr="000B6220" w:rsidR="000F7E77">
        <w:t>, il n</w:t>
      </w:r>
      <w:r w:rsidR="002257E9">
        <w:t>’</w:t>
      </w:r>
      <w:r w:rsidRPr="000B6220" w:rsidR="000F7E77">
        <w:t xml:space="preserve">existait pas de loi sur le service de remplacement et que </w:t>
      </w:r>
      <w:r w:rsidR="00842AAA">
        <w:t>tous les citoyens de sexe masculin</w:t>
      </w:r>
      <w:r w:rsidRPr="000B6220" w:rsidR="00842AAA">
        <w:t xml:space="preserve"> âgés de </w:t>
      </w:r>
      <w:r w:rsidR="00F94336">
        <w:t>dix-huit</w:t>
      </w:r>
      <w:r w:rsidRPr="000B6220" w:rsidR="00842AAA">
        <w:t xml:space="preserve"> à </w:t>
      </w:r>
      <w:r w:rsidR="00F94336">
        <w:t>vingt-sept</w:t>
      </w:r>
      <w:r w:rsidRPr="000B6220" w:rsidR="00842AAA">
        <w:t xml:space="preserve"> ans, sauf ceux jugés physiquement inaptes, </w:t>
      </w:r>
      <w:r w:rsidR="00842AAA">
        <w:t>étaient tenus d</w:t>
      </w:r>
      <w:r w:rsidR="002257E9">
        <w:t>’</w:t>
      </w:r>
      <w:r w:rsidR="00842AAA">
        <w:t>effectuer</w:t>
      </w:r>
      <w:r w:rsidRPr="000B6220" w:rsidR="00842AAA">
        <w:t xml:space="preserve"> leur service militaire </w:t>
      </w:r>
      <w:r w:rsidR="00842AAA">
        <w:t xml:space="preserve">en vertu de </w:t>
      </w:r>
      <w:r w:rsidRPr="000B6220" w:rsidR="000F7E77">
        <w:t xml:space="preserve">la Constitution arménienne </w:t>
      </w:r>
      <w:r w:rsidR="00842AAA">
        <w:t>et de</w:t>
      </w:r>
      <w:r w:rsidRPr="000B6220" w:rsidR="000F7E77">
        <w:t xml:space="preserve"> la loi sur les obligations militaires. La Cour considère que ces dispositions, qui</w:t>
      </w:r>
      <w:r w:rsidR="00735090">
        <w:t xml:space="preserve">, </w:t>
      </w:r>
      <w:r w:rsidRPr="000B6220" w:rsidR="000F7E77">
        <w:t>nul ne le conteste</w:t>
      </w:r>
      <w:r w:rsidR="00735090">
        <w:t>,</w:t>
      </w:r>
      <w:r w:rsidRPr="000B6220" w:rsidR="000F7E77">
        <w:t xml:space="preserve"> étaient accessibles, étaient rédigées en </w:t>
      </w:r>
      <w:r w:rsidR="00DE6075">
        <w:t xml:space="preserve">des </w:t>
      </w:r>
      <w:r w:rsidRPr="000B6220" w:rsidR="000F7E77">
        <w:t>termes suffisamment clairs.</w:t>
      </w:r>
    </w:p>
    <w:p w:rsidRPr="000B6220" w:rsidR="000F7E77" w:rsidP="00E05F30" w:rsidRDefault="000F7E77">
      <w:pPr>
        <w:pStyle w:val="JuPara"/>
      </w:pPr>
      <w:r w:rsidRPr="000B6220">
        <w:fldChar w:fldCharType="begin"/>
      </w:r>
      <w:r w:rsidRPr="000B6220">
        <w:instrText xml:space="preserve"> SEQ level0 \*arabic </w:instrText>
      </w:r>
      <w:r w:rsidRPr="000B6220">
        <w:fldChar w:fldCharType="separate"/>
      </w:r>
      <w:r w:rsidR="00226498">
        <w:rPr>
          <w:noProof/>
        </w:rPr>
        <w:t>115</w:t>
      </w:r>
      <w:r w:rsidRPr="000B6220">
        <w:fldChar w:fldCharType="end"/>
      </w:r>
      <w:r w:rsidRPr="000B6220">
        <w:t xml:space="preserve">.  Certes, il semble y avoir un </w:t>
      </w:r>
      <w:r w:rsidR="00BC19D6">
        <w:t>écart</w:t>
      </w:r>
      <w:r w:rsidRPr="000B6220">
        <w:t xml:space="preserve"> entre les dispositions </w:t>
      </w:r>
      <w:r w:rsidR="0051249A">
        <w:t>du droit interne</w:t>
      </w:r>
      <w:r w:rsidRPr="000B6220">
        <w:t xml:space="preserve"> précitées et l</w:t>
      </w:r>
      <w:r w:rsidR="002257E9">
        <w:t>’</w:t>
      </w:r>
      <w:r w:rsidRPr="000B6220">
        <w:t>engagement, pris par les autorités arméniennes lors de leur adhésion au Conseil de l</w:t>
      </w:r>
      <w:r w:rsidR="002257E9">
        <w:t>’</w:t>
      </w:r>
      <w:r w:rsidRPr="000B6220">
        <w:t>Europe, d</w:t>
      </w:r>
      <w:r w:rsidR="002257E9">
        <w:t>’</w:t>
      </w:r>
      <w:r w:rsidRPr="000B6220">
        <w:t xml:space="preserve">adopter une loi instituant un service de remplacement dans les trois ans </w:t>
      </w:r>
      <w:r w:rsidRPr="000B6220" w:rsidR="006326E1">
        <w:t>à compter de</w:t>
      </w:r>
      <w:r w:rsidRPr="000B6220">
        <w:t xml:space="preserve"> </w:t>
      </w:r>
      <w:r w:rsidRPr="000B6220" w:rsidR="006326E1">
        <w:t>leur</w:t>
      </w:r>
      <w:r w:rsidRPr="000B6220">
        <w:t xml:space="preserve"> adhésion et, dans l</w:t>
      </w:r>
      <w:r w:rsidR="002257E9">
        <w:t>’</w:t>
      </w:r>
      <w:r w:rsidRPr="000B6220">
        <w:t>intervalle, d</w:t>
      </w:r>
      <w:r w:rsidR="002257E9">
        <w:t>’</w:t>
      </w:r>
      <w:r w:rsidRPr="000B6220">
        <w:t>amnistier tous les objecteurs de conscience condamnés à des peines d</w:t>
      </w:r>
      <w:r w:rsidR="002257E9">
        <w:t>’</w:t>
      </w:r>
      <w:r w:rsidRPr="000B6220">
        <w:t>emprisonnement et de leur permettre d</w:t>
      </w:r>
      <w:r w:rsidR="002257E9">
        <w:t>’</w:t>
      </w:r>
      <w:r w:rsidRPr="000B6220">
        <w:t xml:space="preserve">effectuer un service civil de remplacement </w:t>
      </w:r>
      <w:r w:rsidRPr="000B6220" w:rsidR="0007098E">
        <w:t xml:space="preserve">une fois la loi </w:t>
      </w:r>
      <w:r w:rsidRPr="000B6220">
        <w:t xml:space="preserve">entrée en vigueur (paragraphe 50 ci-dessus). </w:t>
      </w:r>
      <w:r w:rsidRPr="000B6220" w:rsidR="005A62C6">
        <w:t xml:space="preserve">Toutefois, la Cour juge </w:t>
      </w:r>
      <w:r w:rsidR="0051249A">
        <w:t>qu</w:t>
      </w:r>
      <w:r w:rsidR="002257E9">
        <w:t>’</w:t>
      </w:r>
      <w:r w:rsidR="0051249A">
        <w:t>il n</w:t>
      </w:r>
      <w:r w:rsidR="002257E9">
        <w:t>’</w:t>
      </w:r>
      <w:r w:rsidR="0051249A">
        <w:t xml:space="preserve">est </w:t>
      </w:r>
      <w:r w:rsidRPr="000B6220" w:rsidR="005A62C6">
        <w:t xml:space="preserve">pas </w:t>
      </w:r>
      <w:r w:rsidRPr="000B6220" w:rsidR="006326E1">
        <w:t>nécessaire</w:t>
      </w:r>
      <w:r w:rsidRPr="000B6220" w:rsidR="005A62C6">
        <w:t xml:space="preserve"> de résoudre la contradiction apparente entre le droit interne et l</w:t>
      </w:r>
      <w:r w:rsidR="002257E9">
        <w:t>’</w:t>
      </w:r>
      <w:r w:rsidRPr="000B6220" w:rsidR="005A62C6">
        <w:t>engagement international de l</w:t>
      </w:r>
      <w:r w:rsidR="002257E9">
        <w:t>’</w:t>
      </w:r>
      <w:r w:rsidR="00D03468">
        <w:t>Arménie</w:t>
      </w:r>
      <w:r w:rsidRPr="000B6220" w:rsidR="005A62C6">
        <w:t xml:space="preserve">. Elle ne juge pas </w:t>
      </w:r>
      <w:r w:rsidRPr="000B6220" w:rsidR="006326E1">
        <w:t>n</w:t>
      </w:r>
      <w:r w:rsidRPr="000B6220" w:rsidR="005A62C6">
        <w:t xml:space="preserve">on plus nécessaire, dans </w:t>
      </w:r>
      <w:r w:rsidRPr="000B6220" w:rsidR="0007098E">
        <w:t>les circonstances de l</w:t>
      </w:r>
      <w:r w:rsidR="002257E9">
        <w:t>’</w:t>
      </w:r>
      <w:r w:rsidRPr="000B6220" w:rsidR="005A62C6">
        <w:t xml:space="preserve">espèce, de statuer sur le </w:t>
      </w:r>
      <w:r w:rsidR="0051249A">
        <w:t>non-respect</w:t>
      </w:r>
      <w:r w:rsidRPr="000B6220" w:rsidR="005A62C6">
        <w:t xml:space="preserve"> allégué </w:t>
      </w:r>
      <w:r w:rsidR="00E93F33">
        <w:t>d</w:t>
      </w:r>
      <w:r w:rsidRPr="000B6220" w:rsidR="005A62C6">
        <w:t>es dispositions du PIDCP</w:t>
      </w:r>
      <w:r w:rsidR="00E93F33">
        <w:t xml:space="preserve"> par les autorités</w:t>
      </w:r>
      <w:r w:rsidRPr="000B6220" w:rsidR="005A62C6">
        <w:t xml:space="preserve"> (paragraphe 59 ci-dessus).</w:t>
      </w:r>
    </w:p>
    <w:p w:rsidRPr="000B6220" w:rsidR="005A62C6" w:rsidP="00F9662D" w:rsidRDefault="005A62C6">
      <w:pPr>
        <w:pStyle w:val="JuPara"/>
        <w:keepNext/>
        <w:keepLines/>
      </w:pPr>
      <w:r w:rsidRPr="000B6220">
        <w:fldChar w:fldCharType="begin"/>
      </w:r>
      <w:r w:rsidRPr="000B6220">
        <w:instrText xml:space="preserve"> SEQ level0 \*arabic </w:instrText>
      </w:r>
      <w:r w:rsidRPr="000B6220">
        <w:fldChar w:fldCharType="separate"/>
      </w:r>
      <w:r w:rsidR="00226498">
        <w:rPr>
          <w:noProof/>
        </w:rPr>
        <w:t>116</w:t>
      </w:r>
      <w:r w:rsidRPr="000B6220">
        <w:fldChar w:fldCharType="end"/>
      </w:r>
      <w:r w:rsidRPr="000B6220">
        <w:t xml:space="preserve">.  Dès lors, </w:t>
      </w:r>
      <w:r w:rsidR="00D03468">
        <w:t xml:space="preserve">aux fins de la présente </w:t>
      </w:r>
      <w:r w:rsidR="00E93F33">
        <w:t>affaire</w:t>
      </w:r>
      <w:r w:rsidR="00D03468">
        <w:t xml:space="preserve"> et eu égard à ses conclusions quant à la nécessité de l</w:t>
      </w:r>
      <w:r w:rsidR="002257E9">
        <w:t>’</w:t>
      </w:r>
      <w:r w:rsidR="00D03468">
        <w:t>ingé</w:t>
      </w:r>
      <w:r w:rsidR="00E93F33">
        <w:t>rence (paragraphes 124 à 128 ci</w:t>
      </w:r>
      <w:r w:rsidR="00E93F33">
        <w:noBreakHyphen/>
      </w:r>
      <w:r w:rsidR="00D03468">
        <w:t xml:space="preserve">dessous), la Cour préfère ne pas </w:t>
      </w:r>
      <w:r w:rsidR="00DE57B7">
        <w:t>se prononcer sur</w:t>
      </w:r>
      <w:r w:rsidR="00D03468">
        <w:t xml:space="preserve"> la question de savoir si l</w:t>
      </w:r>
      <w:r w:rsidR="002257E9">
        <w:t>’</w:t>
      </w:r>
      <w:r w:rsidR="00D03468">
        <w:t xml:space="preserve">ingérence était </w:t>
      </w:r>
      <w:r w:rsidRPr="000B6220">
        <w:t>prévue par la loi.</w:t>
      </w:r>
    </w:p>
    <w:p w:rsidRPr="000B6220" w:rsidR="00E71F66" w:rsidP="00E05F30" w:rsidRDefault="00E71F66">
      <w:pPr>
        <w:pStyle w:val="JuHi"/>
      </w:pPr>
      <w:r w:rsidRPr="000B6220">
        <w:t>ii.  But légitime</w:t>
      </w:r>
    </w:p>
    <w:p w:rsidRPr="000B6220" w:rsidR="00E71F66" w:rsidP="00E05F30" w:rsidRDefault="005A62C6">
      <w:pPr>
        <w:pStyle w:val="JuPara"/>
      </w:pPr>
      <w:r w:rsidRPr="000B6220">
        <w:fldChar w:fldCharType="begin"/>
      </w:r>
      <w:r w:rsidRPr="000B6220">
        <w:instrText xml:space="preserve"> SEQ level0 \*arabic </w:instrText>
      </w:r>
      <w:r w:rsidRPr="000B6220">
        <w:fldChar w:fldCharType="separate"/>
      </w:r>
      <w:r w:rsidR="00226498">
        <w:rPr>
          <w:noProof/>
        </w:rPr>
        <w:t>117</w:t>
      </w:r>
      <w:r w:rsidRPr="000B6220">
        <w:fldChar w:fldCharType="end"/>
      </w:r>
      <w:r w:rsidRPr="000B6220">
        <w:t>.  </w:t>
      </w:r>
      <w:r w:rsidRPr="000B6220" w:rsidR="00D83A51">
        <w:t xml:space="preserve">Le Gouvernement </w:t>
      </w:r>
      <w:r w:rsidR="00E93F33">
        <w:t>invoque</w:t>
      </w:r>
      <w:r w:rsidRPr="000B6220" w:rsidR="00D83A51">
        <w:t xml:space="preserve"> </w:t>
      </w:r>
      <w:r w:rsidR="0098627E">
        <w:t>la nécessité</w:t>
      </w:r>
      <w:r w:rsidRPr="000B6220" w:rsidR="00D83A51">
        <w:t xml:space="preserve"> de protéger l</w:t>
      </w:r>
      <w:r w:rsidR="002257E9">
        <w:t>’</w:t>
      </w:r>
      <w:r w:rsidRPr="000B6220" w:rsidR="00D83A51">
        <w:t>ordre public et, implicitement, les droits d</w:t>
      </w:r>
      <w:r w:rsidR="002257E9">
        <w:t>’</w:t>
      </w:r>
      <w:r w:rsidRPr="000B6220" w:rsidR="00D83A51">
        <w:t xml:space="preserve">autrui. </w:t>
      </w:r>
      <w:r w:rsidR="00DE6075">
        <w:t>L</w:t>
      </w:r>
      <w:r w:rsidRPr="000B6220" w:rsidR="00D83A51">
        <w:t xml:space="preserve">a Cour </w:t>
      </w:r>
      <w:r w:rsidR="00E93F33">
        <w:t xml:space="preserve">juge </w:t>
      </w:r>
      <w:r w:rsidR="00DE6075">
        <w:t xml:space="preserve">toutefois </w:t>
      </w:r>
      <w:r w:rsidR="00E93F33">
        <w:t xml:space="preserve">cet argument </w:t>
      </w:r>
      <w:r w:rsidR="00F24848">
        <w:t xml:space="preserve">peu </w:t>
      </w:r>
      <w:r w:rsidR="00E93F33">
        <w:t>convaincant dan</w:t>
      </w:r>
      <w:r w:rsidR="00735090">
        <w:t>s</w:t>
      </w:r>
      <w:r w:rsidR="00E93F33">
        <w:t xml:space="preserve"> les circonstances de</w:t>
      </w:r>
      <w:r w:rsidRPr="000B6220" w:rsidR="0098627E">
        <w:t xml:space="preserve"> l</w:t>
      </w:r>
      <w:r w:rsidR="002257E9">
        <w:t>’</w:t>
      </w:r>
      <w:r w:rsidRPr="000B6220" w:rsidR="0098627E">
        <w:t>espèce</w:t>
      </w:r>
      <w:r w:rsidR="00E93F33">
        <w:t>,</w:t>
      </w:r>
      <w:r w:rsidRPr="000B6220" w:rsidR="0098627E">
        <w:t xml:space="preserve"> </w:t>
      </w:r>
      <w:r w:rsidR="00F24848">
        <w:t>eu égard notamment au fait</w:t>
      </w:r>
      <w:r w:rsidRPr="000B6220" w:rsidR="0007098E">
        <w:t xml:space="preserve"> </w:t>
      </w:r>
      <w:r w:rsidRPr="000B6220" w:rsidR="00257EFF">
        <w:t>qu</w:t>
      </w:r>
      <w:r w:rsidR="002257E9">
        <w:t>’</w:t>
      </w:r>
      <w:r w:rsidRPr="000B6220" w:rsidR="00257EFF">
        <w:t>à l</w:t>
      </w:r>
      <w:r w:rsidR="002257E9">
        <w:t>’</w:t>
      </w:r>
      <w:r w:rsidRPr="000B6220" w:rsidR="00257EFF">
        <w:t>époque</w:t>
      </w:r>
      <w:r w:rsidRPr="000B6220" w:rsidR="0007098E">
        <w:t xml:space="preserve"> où le requérant a été condamné</w:t>
      </w:r>
      <w:r w:rsidRPr="000B6220" w:rsidR="00257EFF">
        <w:t xml:space="preserve"> les autorités arméniennes s</w:t>
      </w:r>
      <w:r w:rsidR="002257E9">
        <w:t>’</w:t>
      </w:r>
      <w:r w:rsidRPr="000B6220" w:rsidR="00257EFF">
        <w:t xml:space="preserve">étaient déjà engagées à </w:t>
      </w:r>
      <w:r w:rsidR="00E93F33">
        <w:t>instituer</w:t>
      </w:r>
      <w:r w:rsidRPr="000B6220" w:rsidR="00257EFF">
        <w:t xml:space="preserve"> un service civil de remplacement et, implicitement, à s</w:t>
      </w:r>
      <w:r w:rsidR="002257E9">
        <w:t>’</w:t>
      </w:r>
      <w:r w:rsidRPr="000B6220" w:rsidR="00257EFF">
        <w:t xml:space="preserve">abstenir de prononcer de </w:t>
      </w:r>
      <w:r w:rsidRPr="000B6220" w:rsidR="00BD0075">
        <w:t>nouvelles condamnations contre d</w:t>
      </w:r>
      <w:r w:rsidRPr="000B6220" w:rsidR="00257EFF">
        <w:t>es objecteu</w:t>
      </w:r>
      <w:r w:rsidR="00B2214A">
        <w:t>rs de conscience (paragraphe 127</w:t>
      </w:r>
      <w:r w:rsidRPr="000B6220" w:rsidR="00257EFF">
        <w:t xml:space="preserve"> ci-dessous). </w:t>
      </w:r>
      <w:r w:rsidR="00F24848">
        <w:t>Cela étant</w:t>
      </w:r>
      <w:r w:rsidRPr="000B6220" w:rsidR="00257EFF">
        <w:t xml:space="preserve">, elle </w:t>
      </w:r>
      <w:r w:rsidR="00F24848">
        <w:t>considère</w:t>
      </w:r>
      <w:r w:rsidRPr="000B6220" w:rsidR="00257EFF">
        <w:t xml:space="preserve"> qu</w:t>
      </w:r>
      <w:r w:rsidR="002257E9">
        <w:t>’</w:t>
      </w:r>
      <w:r w:rsidRPr="000B6220" w:rsidR="00257EFF">
        <w:t>il n</w:t>
      </w:r>
      <w:r w:rsidR="002257E9">
        <w:t>’</w:t>
      </w:r>
      <w:r w:rsidRPr="000B6220" w:rsidR="00257EFF">
        <w:t xml:space="preserve">y a pas lieu de </w:t>
      </w:r>
      <w:r w:rsidRPr="000B6220" w:rsidR="00BD0075">
        <w:t>trancher</w:t>
      </w:r>
      <w:r w:rsidRPr="000B6220" w:rsidR="00257EFF">
        <w:t xml:space="preserve"> la question de savoir si les </w:t>
      </w:r>
      <w:r w:rsidR="0098627E">
        <w:t>buts</w:t>
      </w:r>
      <w:r w:rsidRPr="000B6220" w:rsidR="00257EFF">
        <w:t xml:space="preserve"> </w:t>
      </w:r>
      <w:r w:rsidR="00E93F33">
        <w:t>avancés</w:t>
      </w:r>
      <w:r w:rsidRPr="000B6220" w:rsidR="00257EFF">
        <w:t xml:space="preserve"> par le Gouvernement sont légitimes </w:t>
      </w:r>
      <w:r w:rsidR="00735090">
        <w:t>aux fins</w:t>
      </w:r>
      <w:r w:rsidRPr="000B6220" w:rsidR="00257EFF">
        <w:t xml:space="preserve"> de l</w:t>
      </w:r>
      <w:r w:rsidR="002257E9">
        <w:t>’</w:t>
      </w:r>
      <w:r w:rsidR="00C27424">
        <w:t xml:space="preserve">article 9 § </w:t>
      </w:r>
      <w:r w:rsidRPr="000B6220" w:rsidR="00BD0075">
        <w:t xml:space="preserve">2 </w:t>
      </w:r>
      <w:r w:rsidR="00E93F33">
        <w:t>car,</w:t>
      </w:r>
      <w:r w:rsidRPr="000B6220" w:rsidR="00257EFF">
        <w:t xml:space="preserve"> même à supposer qu</w:t>
      </w:r>
      <w:r w:rsidR="002257E9">
        <w:t>’</w:t>
      </w:r>
      <w:r w:rsidRPr="000B6220" w:rsidR="00257EFF">
        <w:t>ils le soient, l</w:t>
      </w:r>
      <w:r w:rsidR="002257E9">
        <w:t>’</w:t>
      </w:r>
      <w:r w:rsidRPr="000B6220" w:rsidR="00257EFF">
        <w:t>ingérence en question était en tout état de cause incompatible avec cette disposi</w:t>
      </w:r>
      <w:r w:rsidR="000E157F">
        <w:t>tion pour les motifs exposés ci</w:t>
      </w:r>
      <w:r w:rsidR="000E157F">
        <w:noBreakHyphen/>
      </w:r>
      <w:r w:rsidRPr="000B6220" w:rsidR="00257EFF">
        <w:t>après.</w:t>
      </w:r>
    </w:p>
    <w:p w:rsidRPr="000B6220" w:rsidR="00E71F66" w:rsidP="00E05F30" w:rsidRDefault="00E71F66">
      <w:pPr>
        <w:pStyle w:val="JuHi"/>
      </w:pPr>
      <w:r w:rsidRPr="000B6220">
        <w:t>iii.  Nécessaire dans une société démocratique</w:t>
      </w:r>
    </w:p>
    <w:p w:rsidRPr="000B6220" w:rsidR="00691628" w:rsidP="00E05F30" w:rsidRDefault="00257EFF">
      <w:pPr>
        <w:pStyle w:val="JuPara"/>
      </w:pPr>
      <w:r w:rsidRPr="000B6220">
        <w:fldChar w:fldCharType="begin"/>
      </w:r>
      <w:r w:rsidRPr="000B6220">
        <w:instrText xml:space="preserve"> SEQ level0 \*arabic </w:instrText>
      </w:r>
      <w:r w:rsidRPr="000B6220">
        <w:fldChar w:fldCharType="separate"/>
      </w:r>
      <w:r w:rsidR="00226498">
        <w:rPr>
          <w:noProof/>
        </w:rPr>
        <w:t>118</w:t>
      </w:r>
      <w:r w:rsidRPr="000B6220">
        <w:fldChar w:fldCharType="end"/>
      </w:r>
      <w:r w:rsidRPr="000B6220">
        <w:t>.  </w:t>
      </w:r>
      <w:r w:rsidRPr="000B6220" w:rsidR="002376A3">
        <w:t>La Cour rappelle que, t</w:t>
      </w:r>
      <w:r w:rsidRPr="000B6220" w:rsidR="00691628">
        <w:t>elle que</w:t>
      </w:r>
      <w:r w:rsidRPr="000B6220" w:rsidR="002376A3">
        <w:t xml:space="preserve"> la protège l</w:t>
      </w:r>
      <w:r w:rsidR="002257E9">
        <w:t>’</w:t>
      </w:r>
      <w:r w:rsidRPr="000B6220" w:rsidR="002376A3">
        <w:t>article 9</w:t>
      </w:r>
      <w:r w:rsidRPr="000B6220" w:rsidR="00691628">
        <w:t>, la liberté de pensée, de conscience et de religion repr</w:t>
      </w:r>
      <w:r w:rsidRPr="000B6220" w:rsidR="002376A3">
        <w:t>ésente l</w:t>
      </w:r>
      <w:r w:rsidR="002257E9">
        <w:t>’</w:t>
      </w:r>
      <w:r w:rsidRPr="000B6220" w:rsidR="002376A3">
        <w:t>une des assises d</w:t>
      </w:r>
      <w:r w:rsidR="002257E9">
        <w:t>’</w:t>
      </w:r>
      <w:r w:rsidRPr="000B6220" w:rsidR="002376A3">
        <w:t>une « société démocratique »</w:t>
      </w:r>
      <w:r w:rsidRPr="000B6220" w:rsidR="00691628">
        <w:t xml:space="preserve"> au sens de la Convention. </w:t>
      </w:r>
      <w:r w:rsidRPr="000B6220" w:rsidR="002376A3">
        <w:t>Cette liberté</w:t>
      </w:r>
      <w:r w:rsidRPr="000B6220" w:rsidR="00691628">
        <w:t xml:space="preserve"> figure, dans sa dimension religieuse, parmi les éléments les plus essentiels de l</w:t>
      </w:r>
      <w:r w:rsidR="002257E9">
        <w:t>’</w:t>
      </w:r>
      <w:r w:rsidRPr="000B6220" w:rsidR="00691628">
        <w:t>identité des croyants et de leur conception de la vie, mais elle est aussi un bien précieux pour les athées, les agnostiques, les sceptiques ou les indif</w:t>
      </w:r>
      <w:r w:rsidRPr="000B6220" w:rsidR="002376A3">
        <w:t>férents. Il y va du pluralisme –</w:t>
      </w:r>
      <w:r w:rsidRPr="000B6220" w:rsidR="00691628">
        <w:t xml:space="preserve"> chèremen</w:t>
      </w:r>
      <w:r w:rsidRPr="000B6220" w:rsidR="002376A3">
        <w:t>t conquis au cours des siècles –</w:t>
      </w:r>
      <w:r w:rsidRPr="000B6220" w:rsidR="00691628">
        <w:t xml:space="preserve"> consubstantiel à pareille société.</w:t>
      </w:r>
      <w:r w:rsidRPr="000B6220" w:rsidR="002376A3">
        <w:t xml:space="preserve"> </w:t>
      </w:r>
      <w:r w:rsidRPr="000B6220" w:rsidR="003E0E5D">
        <w:t>Cette liberté suppose, entre autres, celle d</w:t>
      </w:r>
      <w:r w:rsidR="002257E9">
        <w:t>’</w:t>
      </w:r>
      <w:r w:rsidRPr="000B6220" w:rsidR="003E0E5D">
        <w:t>adhérer ou non à une religion et celle de la pratiquer ou non</w:t>
      </w:r>
      <w:r w:rsidRPr="000B6220" w:rsidR="002376A3">
        <w:t xml:space="preserve"> (</w:t>
      </w:r>
      <w:r w:rsidRPr="000B6220" w:rsidR="002376A3">
        <w:rPr>
          <w:i/>
        </w:rPr>
        <w:t>Kokkinakis c. Grèce</w:t>
      </w:r>
      <w:r w:rsidRPr="000B6220" w:rsidR="002376A3">
        <w:t>, 25 mai 1993, § 31, série A n</w:t>
      </w:r>
      <w:r w:rsidRPr="000B6220" w:rsidR="002376A3">
        <w:rPr>
          <w:vertAlign w:val="superscript"/>
        </w:rPr>
        <w:t>o</w:t>
      </w:r>
      <w:r w:rsidR="00C27424">
        <w:t xml:space="preserve"> </w:t>
      </w:r>
      <w:r w:rsidRPr="000B6220" w:rsidR="002376A3">
        <w:t>260</w:t>
      </w:r>
      <w:r w:rsidRPr="000B6220" w:rsidR="002376A3">
        <w:noBreakHyphen/>
        <w:t xml:space="preserve">A, </w:t>
      </w:r>
      <w:r w:rsidRPr="000B6220" w:rsidR="002376A3">
        <w:rPr>
          <w:i/>
        </w:rPr>
        <w:t>Buscarini et autres</w:t>
      </w:r>
      <w:r w:rsidRPr="000B6220" w:rsidR="002376A3">
        <w:t xml:space="preserve">, précité, § 34, et </w:t>
      </w:r>
      <w:r w:rsidRPr="000B6220" w:rsidR="002376A3">
        <w:rPr>
          <w:i/>
        </w:rPr>
        <w:t xml:space="preserve">Leyla Şahin c. Turquie </w:t>
      </w:r>
      <w:r w:rsidRPr="000B6220" w:rsidR="002376A3">
        <w:t>[GC], n</w:t>
      </w:r>
      <w:r w:rsidRPr="000B6220" w:rsidR="002376A3">
        <w:rPr>
          <w:vertAlign w:val="superscript"/>
        </w:rPr>
        <w:t>o</w:t>
      </w:r>
      <w:r w:rsidRPr="000B6220" w:rsidR="002376A3">
        <w:t xml:space="preserve"> 44774/98, § 104, CEDH 2005</w:t>
      </w:r>
      <w:r w:rsidRPr="000B6220" w:rsidR="002376A3">
        <w:noBreakHyphen/>
        <w:t>XI).</w:t>
      </w:r>
    </w:p>
    <w:p w:rsidRPr="000B6220" w:rsidR="002376A3" w:rsidP="00E05F30" w:rsidRDefault="002376A3">
      <w:pPr>
        <w:pStyle w:val="JuPara"/>
      </w:pPr>
      <w:r w:rsidRPr="000B6220">
        <w:fldChar w:fldCharType="begin"/>
      </w:r>
      <w:r w:rsidRPr="000B6220">
        <w:instrText xml:space="preserve"> SEQ level0 \*arabic </w:instrText>
      </w:r>
      <w:r w:rsidRPr="000B6220">
        <w:fldChar w:fldCharType="separate"/>
      </w:r>
      <w:r w:rsidR="00226498">
        <w:rPr>
          <w:noProof/>
        </w:rPr>
        <w:t>119</w:t>
      </w:r>
      <w:r w:rsidRPr="000B6220">
        <w:fldChar w:fldCharType="end"/>
      </w:r>
      <w:r w:rsidRPr="000B6220">
        <w:t>.  </w:t>
      </w:r>
      <w:r w:rsidRPr="000B6220" w:rsidR="00417BDB">
        <w:t>Si la liberté de religion relève d</w:t>
      </w:r>
      <w:r w:rsidR="002257E9">
        <w:t>’</w:t>
      </w:r>
      <w:r w:rsidRPr="000B6220" w:rsidR="00417BDB">
        <w:t>abord du for intérieur, elle implique également celle de manifester sa religion individuellement et en privé, ou de manière collective, en public et dans le cercle de ceux dont on partage la foi. L</w:t>
      </w:r>
      <w:r w:rsidR="002257E9">
        <w:t>’</w:t>
      </w:r>
      <w:r w:rsidRPr="000B6220" w:rsidR="00417BDB">
        <w:t>article 9 énumère diverses formes que peut prendre la manifestation d</w:t>
      </w:r>
      <w:r w:rsidR="002257E9">
        <w:t>’</w:t>
      </w:r>
      <w:r w:rsidRPr="000B6220" w:rsidR="00417BDB">
        <w:t>une religion ou conviction, à savoir le culte, l</w:t>
      </w:r>
      <w:r w:rsidR="002257E9">
        <w:t>’</w:t>
      </w:r>
      <w:r w:rsidRPr="000B6220" w:rsidR="00417BDB">
        <w:t>enseignement, les pratiques et l</w:t>
      </w:r>
      <w:r w:rsidR="002257E9">
        <w:t>’</w:t>
      </w:r>
      <w:r w:rsidRPr="000B6220" w:rsidR="00417BDB">
        <w:t>accomplissement des rites (</w:t>
      </w:r>
      <w:r w:rsidRPr="000B6220" w:rsidR="00417BDB">
        <w:rPr>
          <w:i/>
        </w:rPr>
        <w:t xml:space="preserve">Hassan et Tchaouch c. Bulgarie </w:t>
      </w:r>
      <w:r w:rsidRPr="000B6220" w:rsidR="00417BDB">
        <w:t>[GC], n</w:t>
      </w:r>
      <w:r w:rsidRPr="000B6220" w:rsidR="00417BDB">
        <w:rPr>
          <w:vertAlign w:val="superscript"/>
        </w:rPr>
        <w:t>o</w:t>
      </w:r>
      <w:r w:rsidR="00C27424">
        <w:t xml:space="preserve"> </w:t>
      </w:r>
      <w:r w:rsidRPr="000B6220" w:rsidR="00417BDB">
        <w:t>30985/96, § 60, CEDH 2000</w:t>
      </w:r>
      <w:r w:rsidRPr="000B6220" w:rsidR="00417BDB">
        <w:noBreakHyphen/>
        <w:t xml:space="preserve">XI, et </w:t>
      </w:r>
      <w:r w:rsidRPr="000B6220" w:rsidR="00417BDB">
        <w:rPr>
          <w:i/>
        </w:rPr>
        <w:t>Eglise métropolitaine de Bessarabie et autres c. Moldova</w:t>
      </w:r>
      <w:r w:rsidRPr="000B6220" w:rsidR="00417BDB">
        <w:t>, n</w:t>
      </w:r>
      <w:r w:rsidRPr="000B6220" w:rsidR="00417BDB">
        <w:rPr>
          <w:vertAlign w:val="superscript"/>
        </w:rPr>
        <w:t>o</w:t>
      </w:r>
      <w:r w:rsidRPr="000B6220" w:rsidR="00417BDB">
        <w:t xml:space="preserve"> 45701/99, § 114, CEDH 2001</w:t>
      </w:r>
      <w:r w:rsidRPr="000B6220" w:rsidR="00417BDB">
        <w:noBreakHyphen/>
        <w:t>XII).</w:t>
      </w:r>
    </w:p>
    <w:p w:rsidRPr="000B6220" w:rsidR="00417BDB" w:rsidP="00E05F30" w:rsidRDefault="00417BDB">
      <w:pPr>
        <w:pStyle w:val="JuPara"/>
      </w:pPr>
      <w:r w:rsidRPr="000B6220">
        <w:fldChar w:fldCharType="begin"/>
      </w:r>
      <w:r w:rsidRPr="000B6220">
        <w:instrText xml:space="preserve"> SEQ level0 \*arabic </w:instrText>
      </w:r>
      <w:r w:rsidRPr="000B6220">
        <w:fldChar w:fldCharType="separate"/>
      </w:r>
      <w:r w:rsidR="00226498">
        <w:rPr>
          <w:noProof/>
        </w:rPr>
        <w:t>120</w:t>
      </w:r>
      <w:r w:rsidRPr="000B6220">
        <w:fldChar w:fldCharType="end"/>
      </w:r>
      <w:r w:rsidRPr="000B6220">
        <w:t>.  </w:t>
      </w:r>
      <w:r w:rsidRPr="000B6220" w:rsidR="003D2419">
        <w:t>La Cour a souvent mis l</w:t>
      </w:r>
      <w:r w:rsidR="002257E9">
        <w:t>’</w:t>
      </w:r>
      <w:r w:rsidRPr="000B6220" w:rsidR="003D2419">
        <w:t>accent sur le rôle de l</w:t>
      </w:r>
      <w:r w:rsidR="002257E9">
        <w:t>’</w:t>
      </w:r>
      <w:r w:rsidRPr="000B6220" w:rsidR="003D2419">
        <w:t>Etat en tant qu</w:t>
      </w:r>
      <w:r w:rsidR="002257E9">
        <w:t>’</w:t>
      </w:r>
      <w:r w:rsidRPr="000B6220" w:rsidR="003D2419">
        <w:t>organisateur neutre et impartial de l</w:t>
      </w:r>
      <w:r w:rsidR="002257E9">
        <w:t>’</w:t>
      </w:r>
      <w:r w:rsidRPr="000B6220" w:rsidR="0007098E">
        <w:t xml:space="preserve">exercice des divers cultes, </w:t>
      </w:r>
      <w:r w:rsidRPr="000B6220" w:rsidR="003D2419">
        <w:t>religions et croyances, et indiqué que ce rôle contribue à assurer l</w:t>
      </w:r>
      <w:r w:rsidR="002257E9">
        <w:t>’</w:t>
      </w:r>
      <w:r w:rsidRPr="000B6220" w:rsidR="003D2419">
        <w:t xml:space="preserve">ordre public, la paix religieuse et la tolérance dans une société démocratique. </w:t>
      </w:r>
      <w:r w:rsidRPr="000B6220" w:rsidR="002C399C">
        <w:t>Le</w:t>
      </w:r>
      <w:r w:rsidRPr="000B6220" w:rsidR="003D2419">
        <w:t xml:space="preserve"> devoir de neutralité et d</w:t>
      </w:r>
      <w:r w:rsidR="002257E9">
        <w:t>’</w:t>
      </w:r>
      <w:r w:rsidRPr="000B6220" w:rsidR="003D2419">
        <w:t>impartialité de l</w:t>
      </w:r>
      <w:r w:rsidR="002257E9">
        <w:t>’</w:t>
      </w:r>
      <w:r w:rsidRPr="000B6220" w:rsidR="003D2419">
        <w:t>Etat</w:t>
      </w:r>
      <w:r w:rsidRPr="000B6220" w:rsidR="002C399C">
        <w:t xml:space="preserve"> </w:t>
      </w:r>
      <w:r w:rsidRPr="000B6220" w:rsidR="003D2419">
        <w:t>est incompatible avec un quelconque pouvoir d</w:t>
      </w:r>
      <w:r w:rsidR="002257E9">
        <w:t>’</w:t>
      </w:r>
      <w:r w:rsidRPr="000B6220" w:rsidR="003D2419">
        <w:t>appréciation de la part de l</w:t>
      </w:r>
      <w:r w:rsidR="002257E9">
        <w:t>’</w:t>
      </w:r>
      <w:r w:rsidRPr="000B6220" w:rsidR="003D2419">
        <w:t>Etat quant à la légitimité des croyances religieuses</w:t>
      </w:r>
      <w:r w:rsidRPr="000B6220" w:rsidR="002C399C">
        <w:t xml:space="preserve"> ou des </w:t>
      </w:r>
      <w:r w:rsidR="00FE16BA">
        <w:t>modalités</w:t>
      </w:r>
      <w:r w:rsidRPr="000B6220" w:rsidR="0007098E">
        <w:t xml:space="preserve"> d</w:t>
      </w:r>
      <w:r w:rsidR="002257E9">
        <w:t>’</w:t>
      </w:r>
      <w:r w:rsidRPr="000B6220" w:rsidR="0007098E">
        <w:t xml:space="preserve">expression de </w:t>
      </w:r>
      <w:r w:rsidR="00FE16BA">
        <w:t xml:space="preserve">celles-ci </w:t>
      </w:r>
      <w:r w:rsidRPr="000B6220" w:rsidR="002C399C">
        <w:t>(</w:t>
      </w:r>
      <w:r w:rsidRPr="000B6220" w:rsidR="00FA0DC9">
        <w:rPr>
          <w:i/>
        </w:rPr>
        <w:t>Manoussakis et autres c. Grèce</w:t>
      </w:r>
      <w:r w:rsidRPr="000B6220" w:rsidR="00FA0DC9">
        <w:t xml:space="preserve">, 26 septembre 1996, § 47, </w:t>
      </w:r>
      <w:r w:rsidRPr="000B6220" w:rsidR="00FA0DC9">
        <w:rPr>
          <w:i/>
        </w:rPr>
        <w:t xml:space="preserve">Recueil </w:t>
      </w:r>
      <w:r w:rsidRPr="000B6220" w:rsidR="00FA0DC9">
        <w:t>1996</w:t>
      </w:r>
      <w:r w:rsidRPr="000B6220" w:rsidR="00FA0DC9">
        <w:noBreakHyphen/>
        <w:t xml:space="preserve">IV, et </w:t>
      </w:r>
      <w:r w:rsidRPr="000B6220" w:rsidR="00FA0DC9">
        <w:rPr>
          <w:i/>
        </w:rPr>
        <w:t>Hassan et Tchaouch</w:t>
      </w:r>
      <w:r w:rsidRPr="000B6220" w:rsidR="00FA0DC9">
        <w:t>, précité, § 78).</w:t>
      </w:r>
    </w:p>
    <w:p w:rsidRPr="000B6220" w:rsidR="00E71F66" w:rsidP="00E05F30" w:rsidRDefault="00FA0DC9">
      <w:pPr>
        <w:pStyle w:val="JuPara"/>
      </w:pPr>
      <w:r w:rsidRPr="000B6220">
        <w:fldChar w:fldCharType="begin"/>
      </w:r>
      <w:r w:rsidRPr="000B6220">
        <w:instrText xml:space="preserve"> SEQ level0 \*arabic </w:instrText>
      </w:r>
      <w:r w:rsidRPr="000B6220">
        <w:fldChar w:fldCharType="separate"/>
      </w:r>
      <w:r w:rsidR="00226498">
        <w:rPr>
          <w:noProof/>
        </w:rPr>
        <w:t>121</w:t>
      </w:r>
      <w:r w:rsidRPr="000B6220">
        <w:fldChar w:fldCharType="end"/>
      </w:r>
      <w:r w:rsidRPr="000B6220">
        <w:t>.  </w:t>
      </w:r>
      <w:r w:rsidRPr="000B6220" w:rsidR="004C1C81">
        <w:t>Selon sa jurisprudence constante, la Cour reconnaît aux Etats parties à la Convention une certaine marge d</w:t>
      </w:r>
      <w:r w:rsidR="002257E9">
        <w:t>’</w:t>
      </w:r>
      <w:r w:rsidRPr="000B6220" w:rsidR="004C1C81">
        <w:t>appréciation pour juger de l</w:t>
      </w:r>
      <w:r w:rsidR="002257E9">
        <w:t>’</w:t>
      </w:r>
      <w:r w:rsidRPr="000B6220" w:rsidR="004C1C81">
        <w:t>existence et de l</w:t>
      </w:r>
      <w:r w:rsidR="002257E9">
        <w:t>’</w:t>
      </w:r>
      <w:r w:rsidRPr="000B6220" w:rsidR="004C1C81">
        <w:t xml:space="preserve">étendue </w:t>
      </w:r>
      <w:r w:rsidRPr="000B6220" w:rsidR="00E6122A">
        <w:t>de la nécessité d</w:t>
      </w:r>
      <w:r w:rsidR="002257E9">
        <w:t>’</w:t>
      </w:r>
      <w:r w:rsidRPr="000B6220" w:rsidR="00E6122A">
        <w:t>une ingérence. Cette marge d</w:t>
      </w:r>
      <w:r w:rsidR="002257E9">
        <w:t>’</w:t>
      </w:r>
      <w:r w:rsidRPr="000B6220" w:rsidR="00E6122A">
        <w:t>appréciation</w:t>
      </w:r>
      <w:r w:rsidRPr="000B6220" w:rsidR="004C1C81">
        <w:t xml:space="preserve"> va de pair avec un contrôle européen portant à la fois sur la loi et sur les décisions qui l</w:t>
      </w:r>
      <w:r w:rsidR="002257E9">
        <w:t>’</w:t>
      </w:r>
      <w:r w:rsidRPr="000B6220" w:rsidR="004C1C81">
        <w:t>appliquent. La tâche de la Cour consiste à rechercher si les mesures prises au niveau national se justifient dans leur principe et sont proportionnées (</w:t>
      </w:r>
      <w:r w:rsidRPr="000B6220" w:rsidR="00E6122A">
        <w:rPr>
          <w:i/>
        </w:rPr>
        <w:t>Manoussakis et autres</w:t>
      </w:r>
      <w:r w:rsidRPr="000B6220" w:rsidR="00E6122A">
        <w:t>, précité, § 44,</w:t>
      </w:r>
      <w:r w:rsidRPr="000B6220" w:rsidR="00E6122A">
        <w:rPr>
          <w:i/>
        </w:rPr>
        <w:t xml:space="preserve"> Eglise métropolitaine de Bessarabie et autres</w:t>
      </w:r>
      <w:r w:rsidRPr="000B6220" w:rsidR="00E6122A">
        <w:t xml:space="preserve">, précité, § 119, et </w:t>
      </w:r>
      <w:r w:rsidRPr="000B6220" w:rsidR="00E6122A">
        <w:rPr>
          <w:i/>
        </w:rPr>
        <w:t>Leyla Şahin</w:t>
      </w:r>
      <w:r w:rsidRPr="000B6220" w:rsidR="00E6122A">
        <w:t>, précité, § 110).</w:t>
      </w:r>
    </w:p>
    <w:p w:rsidRPr="000B6220" w:rsidR="002376A3" w:rsidP="00E05F30" w:rsidRDefault="00E6122A">
      <w:pPr>
        <w:pStyle w:val="JuPara"/>
      </w:pPr>
      <w:r w:rsidRPr="000B6220">
        <w:fldChar w:fldCharType="begin"/>
      </w:r>
      <w:r w:rsidRPr="000B6220">
        <w:instrText xml:space="preserve"> SEQ level0 \*arabic </w:instrText>
      </w:r>
      <w:r w:rsidRPr="000B6220">
        <w:fldChar w:fldCharType="separate"/>
      </w:r>
      <w:r w:rsidR="00226498">
        <w:rPr>
          <w:noProof/>
        </w:rPr>
        <w:t>122</w:t>
      </w:r>
      <w:r w:rsidRPr="000B6220">
        <w:fldChar w:fldCharType="end"/>
      </w:r>
      <w:r w:rsidRPr="000B6220">
        <w:t>.  Pour délimiter l</w:t>
      </w:r>
      <w:r w:rsidR="002257E9">
        <w:t>’</w:t>
      </w:r>
      <w:r w:rsidRPr="000B6220">
        <w:t>ampleur de la marge d</w:t>
      </w:r>
      <w:r w:rsidR="002257E9">
        <w:t>’</w:t>
      </w:r>
      <w:r w:rsidRPr="000B6220">
        <w:t>appréciation en l</w:t>
      </w:r>
      <w:r w:rsidR="002257E9">
        <w:t>’</w:t>
      </w:r>
      <w:r w:rsidRPr="000B6220">
        <w:t>espèce, la Cour doit tenir compte de l</w:t>
      </w:r>
      <w:r w:rsidR="002257E9">
        <w:t>’</w:t>
      </w:r>
      <w:r w:rsidRPr="000B6220">
        <w:t xml:space="preserve">enjeu, à savoir la nécessité de maintenir un véritable pluralisme religieux, </w:t>
      </w:r>
      <w:r w:rsidRPr="000B6220" w:rsidR="0077419E">
        <w:t>vital pour la survie d</w:t>
      </w:r>
      <w:r w:rsidR="002257E9">
        <w:t>’</w:t>
      </w:r>
      <w:r w:rsidRPr="000B6220" w:rsidR="0077419E">
        <w:t>une</w:t>
      </w:r>
      <w:r w:rsidRPr="000B6220">
        <w:t xml:space="preserve"> société démocratique</w:t>
      </w:r>
      <w:r w:rsidRPr="000B6220" w:rsidR="0077419E">
        <w:t xml:space="preserve"> (</w:t>
      </w:r>
      <w:r w:rsidRPr="000B6220" w:rsidR="0077419E">
        <w:rPr>
          <w:i/>
        </w:rPr>
        <w:t>Manoussakis et autres</w:t>
      </w:r>
      <w:r w:rsidRPr="000B6220" w:rsidR="0077419E">
        <w:t>, précité, § 44,</w:t>
      </w:r>
      <w:r w:rsidRPr="000B6220" w:rsidR="0077419E">
        <w:rPr>
          <w:i/>
        </w:rPr>
        <w:t xml:space="preserve"> </w:t>
      </w:r>
      <w:r w:rsidRPr="000B6220" w:rsidR="0077419E">
        <w:t xml:space="preserve">et </w:t>
      </w:r>
      <w:r w:rsidRPr="000B6220" w:rsidR="0077419E">
        <w:rPr>
          <w:i/>
        </w:rPr>
        <w:t>Eglise métropolitaine de Bessarabie et autres</w:t>
      </w:r>
      <w:r w:rsidRPr="000B6220" w:rsidR="0077419E">
        <w:t>, précité, § 119). La Cour peut aussi</w:t>
      </w:r>
      <w:r w:rsidR="00A948B0">
        <w:t>,</w:t>
      </w:r>
      <w:r w:rsidRPr="00A948B0" w:rsidR="00A948B0">
        <w:t xml:space="preserve"> </w:t>
      </w:r>
      <w:r w:rsidRPr="000B6220" w:rsidR="00A948B0">
        <w:t>le cas échéant</w:t>
      </w:r>
      <w:r w:rsidR="00A948B0">
        <w:t>,</w:t>
      </w:r>
      <w:r w:rsidRPr="000B6220" w:rsidR="0077419E">
        <w:t xml:space="preserve"> </w:t>
      </w:r>
      <w:r w:rsidR="00A948B0">
        <w:t>prendre en considération</w:t>
      </w:r>
      <w:r w:rsidRPr="000B6220" w:rsidR="0077419E">
        <w:t xml:space="preserve"> </w:t>
      </w:r>
      <w:r w:rsidR="00A948B0">
        <w:t>le consensus et l</w:t>
      </w:r>
      <w:r w:rsidRPr="000B6220" w:rsidR="0077419E">
        <w:t>es valeurs communes qui se dégagent</w:t>
      </w:r>
      <w:r w:rsidRPr="000B6220" w:rsidR="0007098E">
        <w:t xml:space="preserve"> </w:t>
      </w:r>
      <w:r w:rsidRPr="000B6220" w:rsidR="0077419E">
        <w:t xml:space="preserve">de la pratique des Etats parties à la Convention (voir, </w:t>
      </w:r>
      <w:r w:rsidRPr="000B6220" w:rsidR="0077419E">
        <w:rPr>
          <w:i/>
        </w:rPr>
        <w:t>mutatis mutandis</w:t>
      </w:r>
      <w:r w:rsidRPr="000B6220" w:rsidR="0077419E">
        <w:t xml:space="preserve">, </w:t>
      </w:r>
      <w:r w:rsidRPr="000B6220" w:rsidR="0077419E">
        <w:rPr>
          <w:i/>
        </w:rPr>
        <w:t>X, Y et Z c. Royaume-Uni</w:t>
      </w:r>
      <w:r w:rsidRPr="000B6220" w:rsidR="0077419E">
        <w:t xml:space="preserve">, 22 avril 1997, § 44, </w:t>
      </w:r>
      <w:r w:rsidRPr="000B6220" w:rsidR="0077419E">
        <w:rPr>
          <w:i/>
        </w:rPr>
        <w:t xml:space="preserve">Recueil </w:t>
      </w:r>
      <w:r w:rsidRPr="000B6220" w:rsidR="0077419E">
        <w:t>1997</w:t>
      </w:r>
      <w:r w:rsidRPr="000B6220" w:rsidR="0077419E">
        <w:noBreakHyphen/>
        <w:t>II</w:t>
      </w:r>
      <w:r w:rsidR="00513028">
        <w:t xml:space="preserve">, et </w:t>
      </w:r>
      <w:r w:rsidR="00513028">
        <w:rPr>
          <w:i/>
        </w:rPr>
        <w:t xml:space="preserve">Dickson c. Royaume-Uni </w:t>
      </w:r>
      <w:r w:rsidRPr="00513028" w:rsidR="00513028">
        <w:t>[GC], n</w:t>
      </w:r>
      <w:r w:rsidRPr="00E40C8E" w:rsidR="00E40C8E">
        <w:rPr>
          <w:vertAlign w:val="superscript"/>
        </w:rPr>
        <w:t>o</w:t>
      </w:r>
      <w:r w:rsidRPr="00513028" w:rsidR="00513028">
        <w:t xml:space="preserve"> 44362/04, § 78, CEDH 2007-</w:t>
      </w:r>
      <w:r w:rsidR="009116AB">
        <w:t>V</w:t>
      </w:r>
      <w:r w:rsidRPr="000B6220" w:rsidR="0077419E">
        <w:t>).</w:t>
      </w:r>
    </w:p>
    <w:p w:rsidRPr="000B6220" w:rsidR="00F229FB" w:rsidP="00E05F30" w:rsidRDefault="0077419E">
      <w:pPr>
        <w:pStyle w:val="JuPara"/>
      </w:pPr>
      <w:r w:rsidRPr="000B6220">
        <w:fldChar w:fldCharType="begin"/>
      </w:r>
      <w:r w:rsidRPr="000B6220">
        <w:instrText xml:space="preserve"> SEQ level0 \*arabic </w:instrText>
      </w:r>
      <w:r w:rsidRPr="000B6220">
        <w:fldChar w:fldCharType="separate"/>
      </w:r>
      <w:r w:rsidR="00226498">
        <w:rPr>
          <w:noProof/>
        </w:rPr>
        <w:t>123</w:t>
      </w:r>
      <w:r w:rsidRPr="000B6220">
        <w:fldChar w:fldCharType="end"/>
      </w:r>
      <w:r w:rsidRPr="000B6220">
        <w:t xml:space="preserve">.  La Cour a déjà indiqué plus haut </w:t>
      </w:r>
      <w:r w:rsidRPr="000B6220" w:rsidR="00C3553F">
        <w:t>que la quasi-totalité des Etats membres du Conseil de l</w:t>
      </w:r>
      <w:r w:rsidR="002257E9">
        <w:t>’</w:t>
      </w:r>
      <w:r w:rsidRPr="000B6220" w:rsidR="00C3553F">
        <w:t>Europe qui ont connu ou connaissent encore un service militaire obligatoire ont mis en place des formes de service de remplacement afin d</w:t>
      </w:r>
      <w:r w:rsidR="002257E9">
        <w:t>’</w:t>
      </w:r>
      <w:r w:rsidRPr="000B6220" w:rsidR="00C3553F">
        <w:t>offrir une solution en cas de conflit entre la conscience individuelle et les obligations militaires. Dès lors, un Etat qui n</w:t>
      </w:r>
      <w:r w:rsidR="002257E9">
        <w:t>’</w:t>
      </w:r>
      <w:r w:rsidRPr="000B6220" w:rsidR="00C3553F">
        <w:t xml:space="preserve">a pas encore pris </w:t>
      </w:r>
      <w:r w:rsidRPr="000B6220" w:rsidR="0007098E">
        <w:t>de</w:t>
      </w:r>
      <w:r w:rsidRPr="000B6220" w:rsidR="00C3553F">
        <w:t xml:space="preserve"> mesure </w:t>
      </w:r>
      <w:r w:rsidRPr="000B6220" w:rsidR="0007098E">
        <w:t xml:space="preserve">en ce sens </w:t>
      </w:r>
      <w:r w:rsidRPr="000B6220" w:rsidR="00C3553F">
        <w:t>ne dispose que d</w:t>
      </w:r>
      <w:r w:rsidR="002257E9">
        <w:t>’</w:t>
      </w:r>
      <w:r w:rsidRPr="000B6220" w:rsidR="00C3553F">
        <w:t>une marge d</w:t>
      </w:r>
      <w:r w:rsidR="002257E9">
        <w:t>’</w:t>
      </w:r>
      <w:r w:rsidRPr="000B6220" w:rsidR="00C3553F">
        <w:t xml:space="preserve">appréciation limitée et doit présenter des raisons convaincantes et impérieuses pour justifier </w:t>
      </w:r>
      <w:r w:rsidR="00FE16BA">
        <w:t>quelque</w:t>
      </w:r>
      <w:r w:rsidRPr="000B6220" w:rsidR="00C3553F">
        <w:t xml:space="preserve"> ingérence</w:t>
      </w:r>
      <w:r w:rsidR="00FE16BA">
        <w:t xml:space="preserve"> que ce</w:t>
      </w:r>
      <w:r w:rsidRPr="000B6220" w:rsidR="0007098E">
        <w:t xml:space="preserve"> soit</w:t>
      </w:r>
      <w:r w:rsidRPr="000B6220" w:rsidR="00C3553F">
        <w:t xml:space="preserve">. </w:t>
      </w:r>
      <w:r w:rsidR="00513028">
        <w:t xml:space="preserve">En particulier, </w:t>
      </w:r>
      <w:r w:rsidRPr="000B6220" w:rsidR="00C3553F">
        <w:t>il doit faire la preuve que l</w:t>
      </w:r>
      <w:r w:rsidR="002257E9">
        <w:t>’</w:t>
      </w:r>
      <w:r w:rsidRPr="000B6220" w:rsidR="00C3553F">
        <w:t xml:space="preserve">ingérence </w:t>
      </w:r>
      <w:r w:rsidRPr="000B6220" w:rsidR="003B3A78">
        <w:t>répond à un « </w:t>
      </w:r>
      <w:r w:rsidRPr="000B6220" w:rsidR="00F229FB">
        <w:t>besoin soci</w:t>
      </w:r>
      <w:r w:rsidRPr="000B6220" w:rsidR="003B3A78">
        <w:t xml:space="preserve">al impérieux » </w:t>
      </w:r>
      <w:r w:rsidRPr="000B6220" w:rsidR="00F229FB">
        <w:t>(</w:t>
      </w:r>
      <w:r w:rsidRPr="000B6220" w:rsidR="00F229FB">
        <w:rPr>
          <w:i/>
        </w:rPr>
        <w:t>Manoussakis et autres</w:t>
      </w:r>
      <w:r w:rsidRPr="000B6220" w:rsidR="00F229FB">
        <w:t xml:space="preserve">, précité, § 44, </w:t>
      </w:r>
      <w:r w:rsidRPr="000B6220" w:rsidR="00F229FB">
        <w:rPr>
          <w:i/>
        </w:rPr>
        <w:t>Serif c. Grèce</w:t>
      </w:r>
      <w:r w:rsidRPr="000B6220" w:rsidR="00F229FB">
        <w:t>, n</w:t>
      </w:r>
      <w:r w:rsidRPr="000B6220" w:rsidR="00F229FB">
        <w:rPr>
          <w:vertAlign w:val="superscript"/>
        </w:rPr>
        <w:t>o</w:t>
      </w:r>
      <w:r w:rsidRPr="000B6220" w:rsidR="00F229FB">
        <w:t xml:space="preserve"> 38178/97, § 49, CEDH 1999</w:t>
      </w:r>
      <w:r w:rsidRPr="000B6220" w:rsidR="00F229FB">
        <w:noBreakHyphen/>
        <w:t xml:space="preserve">IX, </w:t>
      </w:r>
      <w:r w:rsidRPr="000B6220" w:rsidR="00F229FB">
        <w:rPr>
          <w:i/>
        </w:rPr>
        <w:t>Eglise métropolitaine de Bessarabie et autres</w:t>
      </w:r>
      <w:r w:rsidRPr="000B6220" w:rsidR="00C3553F">
        <w:t>, précité, § </w:t>
      </w:r>
      <w:r w:rsidRPr="000B6220" w:rsidR="00F229FB">
        <w:t xml:space="preserve">119, </w:t>
      </w:r>
      <w:r w:rsidRPr="000B6220" w:rsidR="00F229FB">
        <w:rPr>
          <w:i/>
        </w:rPr>
        <w:t>Agga c. Grèce (n</w:t>
      </w:r>
      <w:r w:rsidRPr="000B6220" w:rsidR="00F229FB">
        <w:rPr>
          <w:i/>
          <w:vertAlign w:val="superscript"/>
        </w:rPr>
        <w:t>o</w:t>
      </w:r>
      <w:r w:rsidRPr="000B6220" w:rsidR="00F229FB">
        <w:rPr>
          <w:i/>
        </w:rPr>
        <w:t xml:space="preserve"> 2)</w:t>
      </w:r>
      <w:r w:rsidRPr="000B6220" w:rsidR="00F229FB">
        <w:t>, n</w:t>
      </w:r>
      <w:r w:rsidRPr="000B6220" w:rsidR="00F229FB">
        <w:rPr>
          <w:vertAlign w:val="superscript"/>
        </w:rPr>
        <w:t xml:space="preserve">os </w:t>
      </w:r>
      <w:r w:rsidRPr="000B6220" w:rsidR="00F229FB">
        <w:t xml:space="preserve">50776/99 et 52912/99, § 56, 17 octobre 2002, et </w:t>
      </w:r>
      <w:r w:rsidRPr="000B6220" w:rsidR="00F229FB">
        <w:rPr>
          <w:i/>
          <w:lang w:eastAsia="en-GB"/>
        </w:rPr>
        <w:t>Branche de Moscou de l</w:t>
      </w:r>
      <w:r w:rsidR="002257E9">
        <w:rPr>
          <w:i/>
          <w:lang w:eastAsia="en-GB"/>
        </w:rPr>
        <w:t>’</w:t>
      </w:r>
      <w:r w:rsidR="009116AB">
        <w:rPr>
          <w:i/>
          <w:lang w:eastAsia="en-GB"/>
        </w:rPr>
        <w:t>Armée du S</w:t>
      </w:r>
      <w:r w:rsidRPr="000B6220" w:rsidR="00F229FB">
        <w:rPr>
          <w:i/>
          <w:lang w:eastAsia="en-GB"/>
        </w:rPr>
        <w:t>alut</w:t>
      </w:r>
      <w:r w:rsidRPr="000B6220" w:rsidR="00F229FB">
        <w:rPr>
          <w:i/>
        </w:rPr>
        <w:t xml:space="preserve"> c. Russie</w:t>
      </w:r>
      <w:r w:rsidRPr="000B6220" w:rsidR="00F229FB">
        <w:t>, n</w:t>
      </w:r>
      <w:r w:rsidRPr="000B6220" w:rsidR="00F229FB">
        <w:rPr>
          <w:vertAlign w:val="superscript"/>
        </w:rPr>
        <w:t>o</w:t>
      </w:r>
      <w:r w:rsidR="00C27424">
        <w:t xml:space="preserve"> </w:t>
      </w:r>
      <w:r w:rsidRPr="000B6220" w:rsidR="00C3553F">
        <w:t>72881/0</w:t>
      </w:r>
      <w:r w:rsidR="00C27424">
        <w:t xml:space="preserve">1, § </w:t>
      </w:r>
      <w:r w:rsidRPr="000B6220" w:rsidR="00F229FB">
        <w:t>62, CEDH 2006</w:t>
      </w:r>
      <w:r w:rsidRPr="000B6220" w:rsidR="00F229FB">
        <w:noBreakHyphen/>
        <w:t>XI).</w:t>
      </w:r>
    </w:p>
    <w:p w:rsidRPr="000B6220" w:rsidR="00F229FB" w:rsidP="00E05F30" w:rsidRDefault="00F229FB">
      <w:pPr>
        <w:pStyle w:val="JuPara"/>
      </w:pPr>
      <w:r w:rsidRPr="000B6220">
        <w:fldChar w:fldCharType="begin"/>
      </w:r>
      <w:r w:rsidRPr="000B6220">
        <w:instrText xml:space="preserve"> SEQ level0 \*arabic </w:instrText>
      </w:r>
      <w:r w:rsidRPr="000B6220">
        <w:fldChar w:fldCharType="separate"/>
      </w:r>
      <w:r w:rsidR="00226498">
        <w:rPr>
          <w:noProof/>
        </w:rPr>
        <w:t>124</w:t>
      </w:r>
      <w:r w:rsidRPr="000B6220">
        <w:fldChar w:fldCharType="end"/>
      </w:r>
      <w:r w:rsidRPr="000B6220">
        <w:t>.  </w:t>
      </w:r>
      <w:r w:rsidR="00F24848">
        <w:t>La Cour ne peut négliger</w:t>
      </w:r>
      <w:r w:rsidRPr="000B6220" w:rsidR="002A63F0">
        <w:t xml:space="preserve"> le fait qu</w:t>
      </w:r>
      <w:r w:rsidR="002257E9">
        <w:t>’</w:t>
      </w:r>
      <w:r w:rsidRPr="000B6220" w:rsidR="002A63F0">
        <w:t xml:space="preserve">en </w:t>
      </w:r>
      <w:r w:rsidR="00A948B0">
        <w:t>l</w:t>
      </w:r>
      <w:r w:rsidR="002257E9">
        <w:t>’</w:t>
      </w:r>
      <w:r w:rsidRPr="000B6220" w:rsidR="002A63F0">
        <w:t xml:space="preserve">espèce, le requérant, témoin de Jéhovah, a </w:t>
      </w:r>
      <w:r w:rsidRPr="000B6220" w:rsidR="0007098E">
        <w:t xml:space="preserve">demandé à être </w:t>
      </w:r>
      <w:r w:rsidRPr="000B6220" w:rsidR="002A63F0">
        <w:t>exempt</w:t>
      </w:r>
      <w:r w:rsidRPr="000B6220" w:rsidR="0007098E">
        <w:t>é</w:t>
      </w:r>
      <w:r w:rsidRPr="000B6220" w:rsidR="002A63F0">
        <w:t xml:space="preserve"> du service militaire non par intérêt personnel ou p</w:t>
      </w:r>
      <w:r w:rsidR="00A948B0">
        <w:t>ar</w:t>
      </w:r>
      <w:r w:rsidRPr="000B6220" w:rsidR="002A63F0">
        <w:t xml:space="preserve"> convenance p</w:t>
      </w:r>
      <w:r w:rsidRPr="000B6220" w:rsidR="00627DC0">
        <w:t>ersonnelle</w:t>
      </w:r>
      <w:r w:rsidRPr="000B6220" w:rsidR="002A63F0">
        <w:t xml:space="preserve"> mais en raison de convictions religieuses sincères. Etant donné qu</w:t>
      </w:r>
      <w:r w:rsidR="002257E9">
        <w:t>’</w:t>
      </w:r>
      <w:r w:rsidRPr="000B6220" w:rsidR="002A63F0">
        <w:t>il n</w:t>
      </w:r>
      <w:r w:rsidR="002257E9">
        <w:t>’</w:t>
      </w:r>
      <w:r w:rsidRPr="000B6220" w:rsidR="002A63F0">
        <w:t>existait pas à l</w:t>
      </w:r>
      <w:r w:rsidR="002257E9">
        <w:t>’</w:t>
      </w:r>
      <w:r w:rsidRPr="000B6220" w:rsidR="002A63F0">
        <w:t xml:space="preserve">époque de service civil </w:t>
      </w:r>
      <w:r w:rsidRPr="000B6220" w:rsidR="0007098E">
        <w:t xml:space="preserve">de remplacement </w:t>
      </w:r>
      <w:r w:rsidRPr="000B6220" w:rsidR="002A63F0">
        <w:t xml:space="preserve">en Arménie, </w:t>
      </w:r>
      <w:r w:rsidR="00D56F86">
        <w:rPr>
          <w:szCs w:val="24"/>
          <w:lang w:eastAsia="en-US"/>
        </w:rPr>
        <w:t>l</w:t>
      </w:r>
      <w:r w:rsidR="002257E9">
        <w:rPr>
          <w:szCs w:val="24"/>
          <w:lang w:eastAsia="en-US"/>
        </w:rPr>
        <w:t>’</w:t>
      </w:r>
      <w:r w:rsidR="00D56F86">
        <w:rPr>
          <w:szCs w:val="24"/>
          <w:lang w:eastAsia="en-US"/>
        </w:rPr>
        <w:t>intéressé</w:t>
      </w:r>
      <w:r w:rsidRPr="000B6220" w:rsidR="002A63F0">
        <w:t xml:space="preserve"> </w:t>
      </w:r>
      <w:r w:rsidRPr="000B6220" w:rsidR="0007098E">
        <w:t>n</w:t>
      </w:r>
      <w:r w:rsidR="002257E9">
        <w:t>’</w:t>
      </w:r>
      <w:r w:rsidRPr="000B6220" w:rsidR="0007098E">
        <w:t>avait pas d</w:t>
      </w:r>
      <w:r w:rsidR="002257E9">
        <w:t>’</w:t>
      </w:r>
      <w:r w:rsidRPr="000B6220" w:rsidR="0007098E">
        <w:t xml:space="preserve">autre possibilité que de </w:t>
      </w:r>
      <w:r w:rsidRPr="000B6220" w:rsidR="002A63F0">
        <w:t>refuser d</w:t>
      </w:r>
      <w:r w:rsidR="002257E9">
        <w:t>’</w:t>
      </w:r>
      <w:r w:rsidRPr="000B6220" w:rsidR="002A63F0">
        <w:t xml:space="preserve">être enrôlé dans </w:t>
      </w:r>
      <w:r w:rsidRPr="00620B76" w:rsidR="002A63F0">
        <w:t>l</w:t>
      </w:r>
      <w:r w:rsidR="002257E9">
        <w:t>’</w:t>
      </w:r>
      <w:r w:rsidRPr="00620B76" w:rsidR="002A63F0">
        <w:t>armée s</w:t>
      </w:r>
      <w:r w:rsidR="002257E9">
        <w:t>’</w:t>
      </w:r>
      <w:r w:rsidRPr="00620B76" w:rsidR="002A63F0">
        <w:t>il voulait rester fidèle à ses convictions, s</w:t>
      </w:r>
      <w:r w:rsidR="002257E9">
        <w:t>’</w:t>
      </w:r>
      <w:r w:rsidRPr="00620B76" w:rsidR="002A63F0">
        <w:t>exposant ainsi à des</w:t>
      </w:r>
      <w:r w:rsidRPr="000B6220" w:rsidR="002A63F0">
        <w:t xml:space="preserve"> sanctions pénales. </w:t>
      </w:r>
      <w:r w:rsidRPr="000B6220" w:rsidR="00627DC0">
        <w:t xml:space="preserve">Ainsi, le système </w:t>
      </w:r>
      <w:r w:rsidRPr="000B6220" w:rsidR="0007098E">
        <w:t xml:space="preserve">en vigueur </w:t>
      </w:r>
      <w:r w:rsidRPr="000B6220" w:rsidR="00627DC0">
        <w:t>à l</w:t>
      </w:r>
      <w:r w:rsidR="002257E9">
        <w:t>’</w:t>
      </w:r>
      <w:r w:rsidRPr="000B6220" w:rsidR="00627DC0">
        <w:t xml:space="preserve">époque des faits imposait aux citoyens une obligation </w:t>
      </w:r>
      <w:r w:rsidR="00735090">
        <w:t>susceptible d</w:t>
      </w:r>
      <w:r w:rsidR="002257E9">
        <w:t>’</w:t>
      </w:r>
      <w:r w:rsidR="00620B76">
        <w:t xml:space="preserve">engendrer </w:t>
      </w:r>
      <w:r w:rsidRPr="000B6220" w:rsidR="00627DC0">
        <w:t>de graves conséquences pour les objecteurs de conscience</w:t>
      </w:r>
      <w:r w:rsidRPr="000B6220" w:rsidR="0007098E">
        <w:t> ; il n</w:t>
      </w:r>
      <w:r w:rsidR="002257E9">
        <w:t>’</w:t>
      </w:r>
      <w:r w:rsidRPr="000B6220" w:rsidR="0007098E">
        <w:t xml:space="preserve">autorisait aucune exemption </w:t>
      </w:r>
      <w:r w:rsidRPr="000B6220" w:rsidR="00627DC0">
        <w:t xml:space="preserve">pour des raisons de conscience et </w:t>
      </w:r>
      <w:r w:rsidRPr="000B6220" w:rsidR="0007098E">
        <w:t xml:space="preserve">sanctionnait pénalement </w:t>
      </w:r>
      <w:r w:rsidRPr="000B6220" w:rsidR="00627DC0">
        <w:t>les personnes qui, comme le requérant, refusaient d</w:t>
      </w:r>
      <w:r w:rsidR="002257E9">
        <w:t>’</w:t>
      </w:r>
      <w:r w:rsidRPr="000B6220" w:rsidR="00627DC0">
        <w:t>effectuer leur service militaire. La Cour considère qu</w:t>
      </w:r>
      <w:r w:rsidR="002257E9">
        <w:t>’</w:t>
      </w:r>
      <w:r w:rsidRPr="000B6220" w:rsidR="00627DC0">
        <w:t xml:space="preserve">un tel système </w:t>
      </w:r>
      <w:r w:rsidRPr="000B6220" w:rsidR="0007098E">
        <w:t>ne ménageait pas</w:t>
      </w:r>
      <w:r w:rsidRPr="000B6220" w:rsidR="00041F15">
        <w:t xml:space="preserve"> un juste équilibre entre l</w:t>
      </w:r>
      <w:r w:rsidR="002257E9">
        <w:t>’</w:t>
      </w:r>
      <w:r w:rsidRPr="000B6220" w:rsidR="00041F15">
        <w:t xml:space="preserve">intérêt de la société </w:t>
      </w:r>
      <w:r w:rsidR="00620B76">
        <w:t>dans son ensemble</w:t>
      </w:r>
      <w:r w:rsidRPr="000B6220" w:rsidR="00041F15">
        <w:t xml:space="preserve"> et celui du requérant. C</w:t>
      </w:r>
      <w:r w:rsidR="002257E9">
        <w:t>’</w:t>
      </w:r>
      <w:r w:rsidRPr="000B6220" w:rsidR="00041F15">
        <w:t xml:space="preserve">est pourquoi elle </w:t>
      </w:r>
      <w:r w:rsidRPr="000B6220" w:rsidR="00A27F61">
        <w:t>juge</w:t>
      </w:r>
      <w:r w:rsidRPr="000B6220" w:rsidR="00041F15">
        <w:t xml:space="preserve"> que</w:t>
      </w:r>
      <w:r w:rsidRPr="000B6220" w:rsidR="0007098E">
        <w:t xml:space="preserve"> la </w:t>
      </w:r>
      <w:r w:rsidR="00620B76">
        <w:t>peine</w:t>
      </w:r>
      <w:r w:rsidRPr="000B6220" w:rsidR="0007098E">
        <w:t xml:space="preserve"> </w:t>
      </w:r>
      <w:r w:rsidR="00DE57B7">
        <w:t>infligée au</w:t>
      </w:r>
      <w:r w:rsidRPr="000B6220" w:rsidR="0007098E">
        <w:t xml:space="preserve"> </w:t>
      </w:r>
      <w:r w:rsidRPr="000B6220" w:rsidR="00041F15">
        <w:t>requérant, alors que rien n</w:t>
      </w:r>
      <w:r w:rsidR="002257E9">
        <w:t>’</w:t>
      </w:r>
      <w:r w:rsidRPr="000B6220" w:rsidR="00041F15">
        <w:t xml:space="preserve">était prévu pour </w:t>
      </w:r>
      <w:r w:rsidRPr="000B6220" w:rsidR="0007098E">
        <w:t>tenir compte d</w:t>
      </w:r>
      <w:r w:rsidRPr="000B6220" w:rsidR="00041F15">
        <w:t xml:space="preserve">es exigences de sa conscience et </w:t>
      </w:r>
      <w:r w:rsidRPr="000B6220" w:rsidR="0007098E">
        <w:t xml:space="preserve">de </w:t>
      </w:r>
      <w:r w:rsidRPr="000B6220" w:rsidR="00041F15">
        <w:t xml:space="preserve">ses convictions, </w:t>
      </w:r>
      <w:r w:rsidRPr="000B6220" w:rsidR="0007098E">
        <w:t xml:space="preserve">ne </w:t>
      </w:r>
      <w:r w:rsidR="00F24848">
        <w:t>peut</w:t>
      </w:r>
      <w:r w:rsidRPr="000B6220" w:rsidR="0007098E">
        <w:t xml:space="preserve"> passer pour une mesure</w:t>
      </w:r>
      <w:r w:rsidR="00513028">
        <w:t xml:space="preserve"> nécessaire dans une société démocratique</w:t>
      </w:r>
      <w:r w:rsidRPr="000B6220" w:rsidR="0007098E">
        <w:t xml:space="preserve">, ce </w:t>
      </w:r>
      <w:r w:rsidRPr="00296BB9" w:rsidR="00A27F61">
        <w:t>d</w:t>
      </w:r>
      <w:r w:rsidR="002257E9">
        <w:t>’</w:t>
      </w:r>
      <w:r w:rsidRPr="00296BB9" w:rsidR="00A27F61">
        <w:t xml:space="preserve">autant </w:t>
      </w:r>
      <w:r w:rsidR="00296BB9">
        <w:t>moins</w:t>
      </w:r>
      <w:r w:rsidRPr="000B6220" w:rsidR="00041F15">
        <w:t xml:space="preserve"> qu</w:t>
      </w:r>
      <w:r w:rsidR="002257E9">
        <w:t>’</w:t>
      </w:r>
      <w:r w:rsidRPr="000B6220" w:rsidR="00041F15">
        <w:t xml:space="preserve">il existait des solutions de remplacement viables et effectives </w:t>
      </w:r>
      <w:r w:rsidR="00D2229D">
        <w:t>propres à</w:t>
      </w:r>
      <w:r w:rsidRPr="000B6220" w:rsidR="00041F15">
        <w:t xml:space="preserve"> ménager les intérêts concurrents en présence, ainsi qu</w:t>
      </w:r>
      <w:r w:rsidR="002257E9">
        <w:t>’</w:t>
      </w:r>
      <w:r w:rsidRPr="000B6220" w:rsidR="00041F15">
        <w:t>en témoigne</w:t>
      </w:r>
      <w:r w:rsidRPr="000B6220" w:rsidR="0007098E">
        <w:t>nt</w:t>
      </w:r>
      <w:r w:rsidRPr="000B6220" w:rsidR="00041F15">
        <w:t xml:space="preserve"> </w:t>
      </w:r>
      <w:r w:rsidRPr="000B6220" w:rsidR="0007098E">
        <w:t xml:space="preserve">les pratiques suivies dans </w:t>
      </w:r>
      <w:r w:rsidRPr="000B6220" w:rsidR="00041F15">
        <w:t>l</w:t>
      </w:r>
      <w:r w:rsidR="002257E9">
        <w:t>’</w:t>
      </w:r>
      <w:r w:rsidR="00D2229D">
        <w:t>immense</w:t>
      </w:r>
      <w:r w:rsidRPr="000B6220" w:rsidR="00041F15">
        <w:t xml:space="preserve"> majorité des Etats européens.</w:t>
      </w:r>
    </w:p>
    <w:p w:rsidR="00C27424" w:rsidP="00E05F30" w:rsidRDefault="00603A94">
      <w:pPr>
        <w:pStyle w:val="JuPara"/>
      </w:pPr>
      <w:r w:rsidRPr="000B6220">
        <w:fldChar w:fldCharType="begin"/>
      </w:r>
      <w:r w:rsidRPr="000B6220">
        <w:instrText xml:space="preserve"> SEQ level0 \*arabic </w:instrText>
      </w:r>
      <w:r w:rsidRPr="000B6220">
        <w:fldChar w:fldCharType="separate"/>
      </w:r>
      <w:r w:rsidR="00226498">
        <w:rPr>
          <w:noProof/>
        </w:rPr>
        <w:t>125</w:t>
      </w:r>
      <w:r w:rsidRPr="000B6220">
        <w:fldChar w:fldCharType="end"/>
      </w:r>
      <w:r w:rsidRPr="000B6220">
        <w:t>.  </w:t>
      </w:r>
      <w:r w:rsidR="00513028">
        <w:t>L</w:t>
      </w:r>
      <w:r w:rsidRPr="000B6220" w:rsidR="0055245F">
        <w:t xml:space="preserve">a Cour </w:t>
      </w:r>
      <w:r w:rsidRPr="000B6220" w:rsidR="00EA36D0">
        <w:t>reconnaît</w:t>
      </w:r>
      <w:r w:rsidRPr="000B6220" w:rsidR="0055245F">
        <w:t xml:space="preserve"> que tout système de service </w:t>
      </w:r>
      <w:r w:rsidRPr="000B6220" w:rsidR="00EA36D0">
        <w:t xml:space="preserve">militaire </w:t>
      </w:r>
      <w:r w:rsidRPr="000B6220" w:rsidR="0055245F">
        <w:t xml:space="preserve">obligatoire impose </w:t>
      </w:r>
      <w:r w:rsidRPr="000B6220" w:rsidR="00FE16BA">
        <w:t>au</w:t>
      </w:r>
      <w:r w:rsidR="00AF2A4F">
        <w:t>x</w:t>
      </w:r>
      <w:r w:rsidRPr="000B6220" w:rsidR="00FE16BA">
        <w:t xml:space="preserve"> citoyen</w:t>
      </w:r>
      <w:r w:rsidR="00AF2A4F">
        <w:t>s</w:t>
      </w:r>
      <w:r w:rsidRPr="000B6220" w:rsidR="00FE16BA">
        <w:t xml:space="preserve"> </w:t>
      </w:r>
      <w:r w:rsidRPr="000B6220" w:rsidR="0055245F">
        <w:t>un</w:t>
      </w:r>
      <w:r w:rsidRPr="000B6220" w:rsidR="00EA36D0">
        <w:t>e</w:t>
      </w:r>
      <w:r w:rsidRPr="000B6220" w:rsidR="0055245F">
        <w:t xml:space="preserve"> lourd</w:t>
      </w:r>
      <w:r w:rsidRPr="000B6220" w:rsidR="00EA36D0">
        <w:t>e</w:t>
      </w:r>
      <w:r w:rsidRPr="000B6220" w:rsidR="0055245F">
        <w:t xml:space="preserve"> </w:t>
      </w:r>
      <w:r w:rsidRPr="000B6220" w:rsidR="00EA36D0">
        <w:t>charge</w:t>
      </w:r>
      <w:r w:rsidR="00513028">
        <w:t>. Celle-ci peut être acceptée</w:t>
      </w:r>
      <w:r w:rsidRPr="000B6220" w:rsidR="00995303">
        <w:t xml:space="preserve"> s</w:t>
      </w:r>
      <w:r w:rsidRPr="000B6220" w:rsidR="00EA36D0">
        <w:t xml:space="preserve">i elle </w:t>
      </w:r>
      <w:r w:rsidRPr="000B6220" w:rsidR="00995303">
        <w:t>est partagé</w:t>
      </w:r>
      <w:r w:rsidRPr="000B6220" w:rsidR="00EA36D0">
        <w:t>e</w:t>
      </w:r>
      <w:r w:rsidRPr="000B6220" w:rsidR="00995303">
        <w:t xml:space="preserve"> équitable</w:t>
      </w:r>
      <w:r w:rsidRPr="000B6220" w:rsidR="00EA36D0">
        <w:t>ment</w:t>
      </w:r>
      <w:r w:rsidRPr="000B6220" w:rsidR="00995303">
        <w:t xml:space="preserve"> </w:t>
      </w:r>
      <w:r w:rsidR="00296BB9">
        <w:t xml:space="preserve">entre tous </w:t>
      </w:r>
      <w:r w:rsidRPr="000B6220" w:rsidR="00995303">
        <w:t xml:space="preserve">et si </w:t>
      </w:r>
      <w:r w:rsidRPr="000B6220" w:rsidR="00EA36D0">
        <w:t>toute</w:t>
      </w:r>
      <w:r w:rsidRPr="000B6220" w:rsidR="00995303">
        <w:t xml:space="preserve"> </w:t>
      </w:r>
      <w:r w:rsidR="00AF2A4F">
        <w:t>dispense</w:t>
      </w:r>
      <w:r w:rsidRPr="000B6220" w:rsidR="00995303">
        <w:t xml:space="preserve"> </w:t>
      </w:r>
      <w:r w:rsidRPr="000B6220" w:rsidR="00EA36D0">
        <w:t>de l</w:t>
      </w:r>
      <w:r w:rsidR="002257E9">
        <w:t>’</w:t>
      </w:r>
      <w:r w:rsidRPr="000B6220" w:rsidR="00EA36D0">
        <w:t>obligation d</w:t>
      </w:r>
      <w:r w:rsidR="002257E9">
        <w:t>’</w:t>
      </w:r>
      <w:r w:rsidRPr="000B6220" w:rsidR="00EA36D0">
        <w:t xml:space="preserve">accomplir le service se fonde </w:t>
      </w:r>
      <w:r w:rsidRPr="000B6220" w:rsidR="00995303">
        <w:t xml:space="preserve">sur des </w:t>
      </w:r>
      <w:r w:rsidRPr="000B6220" w:rsidR="00EA36D0">
        <w:t xml:space="preserve">raisons solides </w:t>
      </w:r>
      <w:r w:rsidRPr="000B6220" w:rsidR="00995303">
        <w:t>et convaincant</w:t>
      </w:r>
      <w:r w:rsidRPr="000B6220" w:rsidR="00EA36D0">
        <w:t>e</w:t>
      </w:r>
      <w:r w:rsidRPr="000B6220" w:rsidR="00995303">
        <w:t>s (</w:t>
      </w:r>
      <w:r w:rsidRPr="000B6220" w:rsidR="00995303">
        <w:rPr>
          <w:i/>
        </w:rPr>
        <w:t>Autio</w:t>
      </w:r>
      <w:r w:rsidRPr="000B6220" w:rsidR="00995303">
        <w:t>, déc</w:t>
      </w:r>
      <w:r w:rsidR="00F94336">
        <w:t>ision</w:t>
      </w:r>
      <w:r w:rsidRPr="000B6220" w:rsidR="00995303">
        <w:t xml:space="preserve">. précitée). Elle a </w:t>
      </w:r>
      <w:r w:rsidR="00F24848">
        <w:t>conclu ci-dessus</w:t>
      </w:r>
      <w:r w:rsidRPr="000B6220" w:rsidR="00995303">
        <w:t xml:space="preserve"> que le requérant avait des motifs </w:t>
      </w:r>
      <w:r w:rsidRPr="000B6220" w:rsidR="0065749F">
        <w:t>solides</w:t>
      </w:r>
      <w:r w:rsidRPr="000B6220" w:rsidR="00995303">
        <w:t xml:space="preserve"> et convaincants justifiant </w:t>
      </w:r>
      <w:r w:rsidRPr="000B6220" w:rsidR="0065749F">
        <w:t xml:space="preserve">son exemption </w:t>
      </w:r>
      <w:r w:rsidRPr="000B6220" w:rsidR="00995303">
        <w:t>du s</w:t>
      </w:r>
      <w:r w:rsidR="00AF2A4F">
        <w:t>ervice militaire (paragraphe 111</w:t>
      </w:r>
      <w:r w:rsidRPr="000B6220" w:rsidR="00995303">
        <w:t xml:space="preserve"> ci-dessus). Elle note en outre que </w:t>
      </w:r>
      <w:r w:rsidR="00FE16BA">
        <w:t>l</w:t>
      </w:r>
      <w:r w:rsidR="002257E9">
        <w:t>’</w:t>
      </w:r>
      <w:r w:rsidR="00FE16BA">
        <w:t>intéressé</w:t>
      </w:r>
      <w:r w:rsidRPr="000B6220" w:rsidR="00995303">
        <w:t xml:space="preserve"> n</w:t>
      </w:r>
      <w:r w:rsidR="002257E9">
        <w:t>’</w:t>
      </w:r>
      <w:r w:rsidRPr="000B6220" w:rsidR="00995303">
        <w:t xml:space="preserve">a jamais refusé </w:t>
      </w:r>
      <w:r w:rsidR="00296BB9">
        <w:t>d</w:t>
      </w:r>
      <w:r w:rsidR="002257E9">
        <w:t>’</w:t>
      </w:r>
      <w:r w:rsidR="00296BB9">
        <w:t>accomplir</w:t>
      </w:r>
      <w:r w:rsidRPr="000B6220" w:rsidR="00995303">
        <w:t xml:space="preserve"> ses obligations civiques </w:t>
      </w:r>
      <w:r w:rsidR="00FE16BA">
        <w:t>en général</w:t>
      </w:r>
      <w:r w:rsidRPr="000B6220" w:rsidR="00995303">
        <w:t>. Bien au contraire, il a explicitement demandé aux autorités de lui donner la possibilité d</w:t>
      </w:r>
      <w:r w:rsidR="002257E9">
        <w:t>’</w:t>
      </w:r>
      <w:r w:rsidRPr="000B6220" w:rsidR="00995303">
        <w:t xml:space="preserve">effectuer un service civil de remplacement. </w:t>
      </w:r>
      <w:r w:rsidR="00FE16BA">
        <w:t>Il</w:t>
      </w:r>
      <w:r w:rsidRPr="000B6220" w:rsidR="00995303">
        <w:t xml:space="preserve"> était donc </w:t>
      </w:r>
      <w:r w:rsidRPr="000B6220" w:rsidR="0065749F">
        <w:t>disposé</w:t>
      </w:r>
      <w:r w:rsidRPr="000B6220" w:rsidR="00995303">
        <w:t xml:space="preserve">, pour des raisons convaincantes, à </w:t>
      </w:r>
      <w:r w:rsidRPr="000B6220" w:rsidR="0065749F">
        <w:t>partager sur un pied d</w:t>
      </w:r>
      <w:r w:rsidR="002257E9">
        <w:t>’</w:t>
      </w:r>
      <w:r w:rsidRPr="000B6220" w:rsidR="0065749F">
        <w:t xml:space="preserve">égalité avec </w:t>
      </w:r>
      <w:r w:rsidRPr="000B6220" w:rsidR="00995303">
        <w:t>ses compatriotes accomplissant leur service militaire obligatoire</w:t>
      </w:r>
      <w:r w:rsidRPr="00F24848" w:rsidR="00F24848">
        <w:t xml:space="preserve"> </w:t>
      </w:r>
      <w:r w:rsidRPr="000B6220" w:rsidR="00F24848">
        <w:t xml:space="preserve">la charge </w:t>
      </w:r>
      <w:r w:rsidR="00F24848">
        <w:t>pesant sur les citoyens</w:t>
      </w:r>
      <w:r w:rsidRPr="000B6220" w:rsidR="00995303">
        <w:t xml:space="preserve">. </w:t>
      </w:r>
      <w:r w:rsidR="00383122">
        <w:t>La possibilité d</w:t>
      </w:r>
      <w:r w:rsidR="002257E9">
        <w:t>’</w:t>
      </w:r>
      <w:r w:rsidR="00383122">
        <w:t>effectuer un service de remplacement n</w:t>
      </w:r>
      <w:r w:rsidR="002257E9">
        <w:t>’</w:t>
      </w:r>
      <w:r w:rsidR="00383122">
        <w:t>étant pas prévue</w:t>
      </w:r>
      <w:r w:rsidRPr="000B6220" w:rsidR="00995303">
        <w:t>, il a dû à la place</w:t>
      </w:r>
      <w:r w:rsidR="00296BB9">
        <w:t xml:space="preserve"> </w:t>
      </w:r>
      <w:r w:rsidRPr="000B6220" w:rsidR="00296BB9">
        <w:t>purger</w:t>
      </w:r>
      <w:r w:rsidRPr="000B6220" w:rsidR="00995303">
        <w:t xml:space="preserve"> une peine d</w:t>
      </w:r>
      <w:r w:rsidR="002257E9">
        <w:t>’</w:t>
      </w:r>
      <w:r w:rsidRPr="000B6220" w:rsidR="00995303">
        <w:t>emprisonnement.</w:t>
      </w:r>
    </w:p>
    <w:p w:rsidRPr="000B6220" w:rsidR="00A24FFF" w:rsidP="00E05F30" w:rsidRDefault="00A24FFF">
      <w:pPr>
        <w:pStyle w:val="JuPara"/>
      </w:pPr>
      <w:r w:rsidRPr="000B6220">
        <w:fldChar w:fldCharType="begin"/>
      </w:r>
      <w:r w:rsidRPr="000B6220">
        <w:instrText xml:space="preserve"> SEQ level0 \*arabic </w:instrText>
      </w:r>
      <w:r w:rsidRPr="000B6220">
        <w:fldChar w:fldCharType="separate"/>
      </w:r>
      <w:r w:rsidR="00226498">
        <w:rPr>
          <w:noProof/>
        </w:rPr>
        <w:t>126</w:t>
      </w:r>
      <w:r w:rsidRPr="000B6220">
        <w:fldChar w:fldCharType="end"/>
      </w:r>
      <w:r w:rsidRPr="000B6220">
        <w:t>.  </w:t>
      </w:r>
      <w:r w:rsidRPr="000B6220" w:rsidR="00F1238D">
        <w:t>La Cour rappelle en outre que pluralisme, tolérance et esprit d</w:t>
      </w:r>
      <w:r w:rsidR="002257E9">
        <w:t>’</w:t>
      </w:r>
      <w:r w:rsidRPr="000B6220" w:rsidR="00F1238D">
        <w:t>ouverture caractérisent une « société démocratique ». Bien qu</w:t>
      </w:r>
      <w:r w:rsidR="002257E9">
        <w:t>’</w:t>
      </w:r>
      <w:r w:rsidRPr="000B6220" w:rsidR="00F1238D">
        <w:t>il faille parfois subordonner les intérêts d</w:t>
      </w:r>
      <w:r w:rsidR="002257E9">
        <w:t>’</w:t>
      </w:r>
      <w:r w:rsidRPr="000B6220" w:rsidR="00F1238D">
        <w:t>individus à ceux d</w:t>
      </w:r>
      <w:r w:rsidR="002257E9">
        <w:t>’</w:t>
      </w:r>
      <w:r w:rsidRPr="000B6220" w:rsidR="00F1238D">
        <w:t>un groupe, la démocratie ne se ramène pas à la suprématie constante de l</w:t>
      </w:r>
      <w:r w:rsidR="002257E9">
        <w:t>’</w:t>
      </w:r>
      <w:r w:rsidRPr="000B6220" w:rsidR="00F1238D">
        <w:t>opinion d</w:t>
      </w:r>
      <w:r w:rsidR="002257E9">
        <w:t>’</w:t>
      </w:r>
      <w:r w:rsidRPr="000B6220" w:rsidR="00F1238D">
        <w:t>une majorité mais commande un équilibre qui assure aux individus minoritaires un traitement juste et qui évite tout abus d</w:t>
      </w:r>
      <w:r w:rsidR="002257E9">
        <w:t>’</w:t>
      </w:r>
      <w:r w:rsidRPr="000B6220" w:rsidR="00F1238D">
        <w:t>une position dominante (</w:t>
      </w:r>
      <w:r w:rsidRPr="000B6220" w:rsidR="00F1238D">
        <w:rPr>
          <w:i/>
        </w:rPr>
        <w:t>Leyla Şahin</w:t>
      </w:r>
      <w:r w:rsidRPr="000B6220" w:rsidR="00F1238D">
        <w:t xml:space="preserve">, précité, § 108). </w:t>
      </w:r>
      <w:r w:rsidRPr="000B6220" w:rsidR="0081332F">
        <w:t>Ainsi, une situation où l</w:t>
      </w:r>
      <w:r w:rsidR="002257E9">
        <w:t>’</w:t>
      </w:r>
      <w:r w:rsidRPr="000B6220" w:rsidR="0081332F">
        <w:t xml:space="preserve">Etat respecte les </w:t>
      </w:r>
      <w:r w:rsidRPr="000B6220" w:rsidR="0065749F">
        <w:t>convictions</w:t>
      </w:r>
      <w:r w:rsidRPr="000B6220" w:rsidR="0081332F">
        <w:t xml:space="preserve"> d</w:t>
      </w:r>
      <w:r w:rsidR="002257E9">
        <w:t>’</w:t>
      </w:r>
      <w:r w:rsidRPr="000B6220" w:rsidR="0081332F">
        <w:t>un groupe religieux minoritaire</w:t>
      </w:r>
      <w:r w:rsidR="0067137B">
        <w:t>,</w:t>
      </w:r>
      <w:r w:rsidRPr="000B6220" w:rsidR="0081332F">
        <w:t xml:space="preserve"> comme celui auquel appartient le requérant</w:t>
      </w:r>
      <w:r w:rsidR="0067137B">
        <w:t>,</w:t>
      </w:r>
      <w:r w:rsidRPr="000B6220" w:rsidR="0081332F">
        <w:t xml:space="preserve"> en donnant à ses membres la possibilité de servir la société conformément aux exigences de leur conscience, bien loin de créer des inégalités injustes ou </w:t>
      </w:r>
      <w:r w:rsidR="00FE16BA">
        <w:t xml:space="preserve">une </w:t>
      </w:r>
      <w:r w:rsidRPr="000B6220" w:rsidR="00A56798">
        <w:t>discrimination</w:t>
      </w:r>
      <w:r w:rsidRPr="000B6220" w:rsidR="0081332F">
        <w:t xml:space="preserve"> comme </w:t>
      </w:r>
      <w:r w:rsidR="0067137B">
        <w:t>le soutient</w:t>
      </w:r>
      <w:r w:rsidRPr="000B6220" w:rsidR="0081332F">
        <w:t xml:space="preserve"> le Gouvernement, </w:t>
      </w:r>
      <w:r w:rsidR="00FE16BA">
        <w:t>est</w:t>
      </w:r>
      <w:r w:rsidRPr="000B6220" w:rsidR="0081332F">
        <w:t xml:space="preserve"> plutôt de nature à assurer </w:t>
      </w:r>
      <w:r w:rsidRPr="00FE16BA" w:rsidR="0081332F">
        <w:t>le pluralisme</w:t>
      </w:r>
      <w:r w:rsidRPr="000B6220" w:rsidR="0081332F">
        <w:t xml:space="preserve"> </w:t>
      </w:r>
      <w:r w:rsidR="00FE16BA">
        <w:t xml:space="preserve">dans la cohésion et la stabilité </w:t>
      </w:r>
      <w:r w:rsidRPr="000B6220" w:rsidR="0081332F">
        <w:t>et à promouvoir l</w:t>
      </w:r>
      <w:r w:rsidR="002257E9">
        <w:t>’</w:t>
      </w:r>
      <w:r w:rsidR="00FE16BA">
        <w:t>harmonie religieuse</w:t>
      </w:r>
      <w:r w:rsidRPr="000B6220" w:rsidR="0081332F">
        <w:t xml:space="preserve"> et la tolérance au sein de la société.</w:t>
      </w:r>
    </w:p>
    <w:p w:rsidRPr="000B6220" w:rsidR="0081332F" w:rsidP="00E05F30" w:rsidRDefault="0081332F">
      <w:pPr>
        <w:pStyle w:val="JuPara"/>
      </w:pPr>
      <w:r w:rsidRPr="000B6220">
        <w:fldChar w:fldCharType="begin"/>
      </w:r>
      <w:r w:rsidRPr="000B6220">
        <w:instrText xml:space="preserve"> SEQ level0 \*arabic </w:instrText>
      </w:r>
      <w:r w:rsidRPr="000B6220">
        <w:fldChar w:fldCharType="separate"/>
      </w:r>
      <w:r w:rsidR="00226498">
        <w:rPr>
          <w:noProof/>
        </w:rPr>
        <w:t>127</w:t>
      </w:r>
      <w:r w:rsidRPr="000B6220">
        <w:fldChar w:fldCharType="end"/>
      </w:r>
      <w:r w:rsidRPr="000B6220">
        <w:t>.  </w:t>
      </w:r>
      <w:r w:rsidR="00FE0048">
        <w:t>Enfin</w:t>
      </w:r>
      <w:r w:rsidRPr="000B6220">
        <w:t xml:space="preserve">, la Cour </w:t>
      </w:r>
      <w:r w:rsidR="00FE0048">
        <w:t>fait observer</w:t>
      </w:r>
      <w:r w:rsidRPr="000B6220">
        <w:t xml:space="preserve"> q</w:t>
      </w:r>
      <w:r w:rsidRPr="000B6220" w:rsidR="00AB511F">
        <w:t>ue le requérant a été poursuivi</w:t>
      </w:r>
      <w:r w:rsidRPr="000B6220">
        <w:t xml:space="preserve"> et condamné à une époque où les autorités arméniennes s</w:t>
      </w:r>
      <w:r w:rsidR="002257E9">
        <w:t>’</w:t>
      </w:r>
      <w:r w:rsidRPr="000B6220">
        <w:t xml:space="preserve">étaient déjà officiellement </w:t>
      </w:r>
      <w:r w:rsidRPr="000B6220" w:rsidR="00AB511F">
        <w:t xml:space="preserve">engagées, </w:t>
      </w:r>
      <w:r w:rsidRPr="005C6BBE" w:rsidR="00AB511F">
        <w:t>lors de</w:t>
      </w:r>
      <w:r w:rsidRPr="000B6220" w:rsidR="00AB511F">
        <w:t xml:space="preserve"> leur adhésion</w:t>
      </w:r>
      <w:r w:rsidRPr="000B6220">
        <w:t xml:space="preserve"> au Conseil de l</w:t>
      </w:r>
      <w:r w:rsidR="002257E9">
        <w:t>’</w:t>
      </w:r>
      <w:r w:rsidRPr="000B6220">
        <w:t xml:space="preserve">Europe, à </w:t>
      </w:r>
      <w:r w:rsidR="005C6BBE">
        <w:t>instituer</w:t>
      </w:r>
      <w:r w:rsidRPr="000B6220">
        <w:t xml:space="preserve"> un service de remplacement dans un certain délai (paragraphe 50 ci-dessus). </w:t>
      </w:r>
      <w:r w:rsidRPr="000B6220" w:rsidR="007208D2">
        <w:t>De plus, même si l</w:t>
      </w:r>
      <w:r w:rsidR="002257E9">
        <w:t>’</w:t>
      </w:r>
      <w:r w:rsidRPr="000B6220" w:rsidR="007208D2">
        <w:t xml:space="preserve">engagement de ne pas condamner les objecteurs de conscience pendant ce délai </w:t>
      </w:r>
      <w:r w:rsidR="00FE0048">
        <w:t>n</w:t>
      </w:r>
      <w:r w:rsidR="002257E9">
        <w:t>’</w:t>
      </w:r>
      <w:r w:rsidR="00FE0048">
        <w:t>est pas expressément énoncé</w:t>
      </w:r>
      <w:r w:rsidRPr="000B6220" w:rsidR="007208D2">
        <w:t xml:space="preserve"> dans l</w:t>
      </w:r>
      <w:r w:rsidR="002257E9">
        <w:t>’</w:t>
      </w:r>
      <w:r w:rsidRPr="000B6220" w:rsidR="007208D2">
        <w:t>avis n</w:t>
      </w:r>
      <w:r w:rsidRPr="00E40C8E" w:rsidR="00E40C8E">
        <w:rPr>
          <w:vertAlign w:val="superscript"/>
        </w:rPr>
        <w:t>o</w:t>
      </w:r>
      <w:r w:rsidRPr="000B6220" w:rsidR="007208D2">
        <w:t xml:space="preserve"> 221 de l</w:t>
      </w:r>
      <w:r w:rsidR="002257E9">
        <w:t>’</w:t>
      </w:r>
      <w:r w:rsidRPr="000B6220" w:rsidR="007208D2">
        <w:t>Assemblée parlementaire, on peut considérer qu</w:t>
      </w:r>
      <w:r w:rsidR="002257E9">
        <w:t>’</w:t>
      </w:r>
      <w:r w:rsidRPr="000B6220" w:rsidR="007208D2">
        <w:t xml:space="preserve">il découle implicitement de </w:t>
      </w:r>
      <w:r w:rsidR="00FE0048">
        <w:t>la phrase suivante de</w:t>
      </w:r>
      <w:r w:rsidRPr="000B6220" w:rsidR="007208D2">
        <w:t xml:space="preserve"> cet avis : « (</w:t>
      </w:r>
      <w:r w:rsidR="00E40C8E">
        <w:t>...</w:t>
      </w:r>
      <w:r w:rsidRPr="000B6220" w:rsidR="007208D2">
        <w:t>) entre-temps, à amnistier les objecteurs de conscience purgeant actuellement des peines de prison (</w:t>
      </w:r>
      <w:r w:rsidR="00E40C8E">
        <w:t>...</w:t>
      </w:r>
      <w:r w:rsidRPr="000B6220" w:rsidR="007208D2">
        <w:t>) en les autorisant (une fois la loi sur le service de remplacement entrée en vigueur) à faire (</w:t>
      </w:r>
      <w:r w:rsidR="00E40C8E">
        <w:t>...</w:t>
      </w:r>
      <w:r w:rsidRPr="000B6220" w:rsidR="007208D2">
        <w:t xml:space="preserve">) un service civil de remplacement ». Pareil </w:t>
      </w:r>
      <w:r w:rsidRPr="001D0D05" w:rsidR="007208D2">
        <w:t xml:space="preserve">engagement des autorités arméniennes témoigne </w:t>
      </w:r>
      <w:r w:rsidR="001D0D05">
        <w:t>d</w:t>
      </w:r>
      <w:r w:rsidR="002257E9">
        <w:t>’</w:t>
      </w:r>
      <w:r w:rsidR="001D0D05">
        <w:t>une</w:t>
      </w:r>
      <w:r w:rsidRPr="001D0D05" w:rsidR="007208D2">
        <w:t xml:space="preserve"> reconnaissance </w:t>
      </w:r>
      <w:r w:rsidR="001D0D05">
        <w:t xml:space="preserve">de leur part </w:t>
      </w:r>
      <w:r w:rsidRPr="001D0D05" w:rsidR="007208D2">
        <w:t>de ce</w:t>
      </w:r>
      <w:r w:rsidRPr="000B6220" w:rsidR="007208D2">
        <w:t xml:space="preserve"> que la liberté de conscience peut s</w:t>
      </w:r>
      <w:r w:rsidR="002257E9">
        <w:t>’</w:t>
      </w:r>
      <w:r w:rsidRPr="000B6220" w:rsidR="007208D2">
        <w:t>exprimer par le biais d</w:t>
      </w:r>
      <w:r w:rsidR="002257E9">
        <w:t>’</w:t>
      </w:r>
      <w:r w:rsidRPr="000B6220" w:rsidR="007208D2">
        <w:t>un refus du service militaire et qu</w:t>
      </w:r>
      <w:r w:rsidR="002257E9">
        <w:t>’</w:t>
      </w:r>
      <w:r w:rsidRPr="000B6220" w:rsidR="007208D2">
        <w:t xml:space="preserve">il est nécessaire de traiter la question en mettant en place des mesures de remplacement au lieu de </w:t>
      </w:r>
      <w:r w:rsidR="005C6BBE">
        <w:t>sanctionner pénalement</w:t>
      </w:r>
      <w:r w:rsidRPr="000B6220" w:rsidR="007208D2">
        <w:t xml:space="preserve"> les objecteurs de conscience. Dès lors, la condamnation du requérant pour avoir formulé une objection de conscience </w:t>
      </w:r>
      <w:r w:rsidR="00383122">
        <w:t>était</w:t>
      </w:r>
      <w:r w:rsidRPr="000B6220" w:rsidR="007208D2">
        <w:t xml:space="preserve"> directement en conflit avec la politique </w:t>
      </w:r>
      <w:r w:rsidR="005C6BBE">
        <w:t xml:space="preserve">officielle </w:t>
      </w:r>
      <w:r w:rsidRPr="000B6220" w:rsidR="007208D2">
        <w:t>de réforme et d</w:t>
      </w:r>
      <w:r w:rsidR="002257E9">
        <w:t>’</w:t>
      </w:r>
      <w:r w:rsidRPr="000B6220" w:rsidR="007208D2">
        <w:t xml:space="preserve">amendements législatifs </w:t>
      </w:r>
      <w:r w:rsidR="00383122">
        <w:t>que</w:t>
      </w:r>
      <w:r w:rsidR="005C6BBE">
        <w:t xml:space="preserve"> l</w:t>
      </w:r>
      <w:r w:rsidR="002257E9">
        <w:t>’</w:t>
      </w:r>
      <w:r w:rsidRPr="000B6220" w:rsidR="007208D2">
        <w:t xml:space="preserve">Arménie </w:t>
      </w:r>
      <w:r w:rsidR="00383122">
        <w:t xml:space="preserve">menait </w:t>
      </w:r>
      <w:r w:rsidRPr="000B6220" w:rsidR="007208D2">
        <w:t>à l</w:t>
      </w:r>
      <w:r w:rsidR="002257E9">
        <w:t>’</w:t>
      </w:r>
      <w:r w:rsidRPr="000B6220" w:rsidR="007208D2">
        <w:t>époque des faits</w:t>
      </w:r>
      <w:r w:rsidR="00383122">
        <w:t>,</w:t>
      </w:r>
      <w:r w:rsidRPr="000B6220" w:rsidR="007208D2">
        <w:t xml:space="preserve"> conformément</w:t>
      </w:r>
      <w:r w:rsidRPr="000B6220" w:rsidR="00A27F61">
        <w:t xml:space="preserve"> à ses engagements internationaux</w:t>
      </w:r>
      <w:r w:rsidR="00383122">
        <w:t>,</w:t>
      </w:r>
      <w:r w:rsidR="00BC19D6">
        <w:t xml:space="preserve"> et ne saurait dans ces conditions</w:t>
      </w:r>
      <w:r w:rsidRPr="000B6220" w:rsidR="007208D2">
        <w:t xml:space="preserve"> passer pour </w:t>
      </w:r>
      <w:r w:rsidR="005C6BBE">
        <w:t>avoir été</w:t>
      </w:r>
      <w:r w:rsidRPr="000B6220" w:rsidR="007208D2">
        <w:t xml:space="preserve"> motivée par un besoin social impérieux. Cela est d</w:t>
      </w:r>
      <w:r w:rsidR="002257E9">
        <w:t>’</w:t>
      </w:r>
      <w:r w:rsidRPr="000B6220" w:rsidR="007208D2">
        <w:t xml:space="preserve">autant plus vrai si </w:t>
      </w:r>
      <w:r w:rsidR="005C6BBE">
        <w:t>l</w:t>
      </w:r>
      <w:r w:rsidR="002257E9">
        <w:t>’</w:t>
      </w:r>
      <w:r w:rsidR="005C6BBE">
        <w:t xml:space="preserve">on </w:t>
      </w:r>
      <w:r w:rsidR="001D0D05">
        <w:t>considère</w:t>
      </w:r>
      <w:r w:rsidRPr="000B6220" w:rsidR="007208D2">
        <w:t xml:space="preserve"> que la loi sur le service de remplacement a été adoptée moins d</w:t>
      </w:r>
      <w:r w:rsidR="002257E9">
        <w:t>’</w:t>
      </w:r>
      <w:r w:rsidRPr="000B6220" w:rsidR="007208D2">
        <w:t xml:space="preserve">un an après la condamnation définitive du requérant. </w:t>
      </w:r>
      <w:r w:rsidR="00296BB9">
        <w:t>La circonstance</w:t>
      </w:r>
      <w:r w:rsidRPr="000B6220" w:rsidR="007208D2">
        <w:t xml:space="preserve"> que celui-ci </w:t>
      </w:r>
      <w:r w:rsidR="00296BB9">
        <w:t>a</w:t>
      </w:r>
      <w:r w:rsidRPr="000B6220" w:rsidR="007208D2">
        <w:t xml:space="preserve"> par la suite </w:t>
      </w:r>
      <w:r w:rsidRPr="000B6220" w:rsidR="00A27F61">
        <w:t xml:space="preserve">été </w:t>
      </w:r>
      <w:r w:rsidRPr="000B6220" w:rsidR="007208D2">
        <w:t xml:space="preserve">libéré sous conditions ne change rien à </w:t>
      </w:r>
      <w:r w:rsidR="00821CDB">
        <w:t xml:space="preserve">la situation. </w:t>
      </w:r>
      <w:r w:rsidRPr="000B6220" w:rsidR="00795248">
        <w:t>L</w:t>
      </w:r>
      <w:r w:rsidR="002257E9">
        <w:t>’</w:t>
      </w:r>
      <w:r w:rsidRPr="000B6220" w:rsidR="00795248">
        <w:t>adoption de la nouvelle loi n</w:t>
      </w:r>
      <w:r w:rsidR="002257E9">
        <w:t>’</w:t>
      </w:r>
      <w:r w:rsidRPr="000B6220" w:rsidR="00795248">
        <w:t>a pas non plus eu d</w:t>
      </w:r>
      <w:r w:rsidR="002257E9">
        <w:t>’</w:t>
      </w:r>
      <w:r w:rsidRPr="000B6220" w:rsidR="00795248">
        <w:t xml:space="preserve">incidence sur </w:t>
      </w:r>
      <w:r w:rsidR="00821CDB">
        <w:t>l</w:t>
      </w:r>
      <w:r w:rsidR="002257E9">
        <w:t>’</w:t>
      </w:r>
      <w:r w:rsidR="00821CDB">
        <w:t>affaire</w:t>
      </w:r>
      <w:r w:rsidRPr="000B6220" w:rsidR="00795248">
        <w:t xml:space="preserve"> </w:t>
      </w:r>
      <w:r w:rsidR="001D0D05">
        <w:t>de l</w:t>
      </w:r>
      <w:r w:rsidR="002257E9">
        <w:t>’</w:t>
      </w:r>
      <w:r w:rsidR="001D0D05">
        <w:t>intéressé</w:t>
      </w:r>
      <w:r w:rsidRPr="000B6220" w:rsidR="00795248">
        <w:t>.</w:t>
      </w:r>
    </w:p>
    <w:p w:rsidRPr="000B6220" w:rsidR="00795248" w:rsidP="00E05F30" w:rsidRDefault="00795248">
      <w:pPr>
        <w:pStyle w:val="JuPara"/>
      </w:pPr>
      <w:r w:rsidRPr="000B6220">
        <w:fldChar w:fldCharType="begin"/>
      </w:r>
      <w:r w:rsidRPr="000B6220">
        <w:instrText xml:space="preserve"> SEQ level0 \*arabic </w:instrText>
      </w:r>
      <w:r w:rsidRPr="000B6220">
        <w:fldChar w:fldCharType="separate"/>
      </w:r>
      <w:r w:rsidR="00226498">
        <w:rPr>
          <w:noProof/>
        </w:rPr>
        <w:t>128</w:t>
      </w:r>
      <w:r w:rsidRPr="000B6220">
        <w:fldChar w:fldCharType="end"/>
      </w:r>
      <w:r w:rsidRPr="000B6220">
        <w:t xml:space="preserve">.  Pour toutes les raisons qui précèdent, la Cour considère que la condamnation du requérant </w:t>
      </w:r>
      <w:r w:rsidR="00383122">
        <w:t>s</w:t>
      </w:r>
      <w:r w:rsidR="002257E9">
        <w:t>’</w:t>
      </w:r>
      <w:r w:rsidR="00383122">
        <w:t>analyse en</w:t>
      </w:r>
      <w:r w:rsidRPr="000B6220">
        <w:t xml:space="preserve"> une ingérence qui n</w:t>
      </w:r>
      <w:r w:rsidR="002257E9">
        <w:t>’</w:t>
      </w:r>
      <w:r w:rsidRPr="000B6220">
        <w:t>était pas nécessaire dans une société démocratique</w:t>
      </w:r>
      <w:r w:rsidR="00383122">
        <w:t>,</w:t>
      </w:r>
      <w:r w:rsidRPr="000B6220">
        <w:t xml:space="preserve"> au sens de l</w:t>
      </w:r>
      <w:r w:rsidR="002257E9">
        <w:t>’</w:t>
      </w:r>
      <w:r w:rsidRPr="000B6220">
        <w:t>article 9 de la Convention. Dès lors, il y a eu violation de cette disposition.</w:t>
      </w:r>
    </w:p>
    <w:p w:rsidRPr="000B6220" w:rsidR="006C5B9E" w:rsidP="00E05F30" w:rsidRDefault="009F457A">
      <w:pPr>
        <w:pStyle w:val="JuHIRoman"/>
      </w:pPr>
      <w:r w:rsidRPr="000B6220">
        <w:t>II</w:t>
      </w:r>
      <w:r w:rsidRPr="000B6220" w:rsidR="006C5B9E">
        <w:t>.  SUR L</w:t>
      </w:r>
      <w:r w:rsidR="002257E9">
        <w:t>’</w:t>
      </w:r>
      <w:r w:rsidRPr="000B6220" w:rsidR="006C5B9E">
        <w:t>APPLICATION DE L</w:t>
      </w:r>
      <w:r w:rsidR="002257E9">
        <w:t>’</w:t>
      </w:r>
      <w:r w:rsidRPr="000B6220" w:rsidR="006C5B9E">
        <w:t>ARTICLE 41 DE LA CONVENTION</w:t>
      </w:r>
    </w:p>
    <w:p w:rsidRPr="000B6220" w:rsidR="006C5B9E" w:rsidP="00E05F30" w:rsidRDefault="00BB71B1">
      <w:pPr>
        <w:pStyle w:val="JuPara"/>
        <w:keepNext/>
        <w:keepLines/>
        <w:outlineLvl w:val="0"/>
      </w:pPr>
      <w:r w:rsidRPr="000B6220">
        <w:fldChar w:fldCharType="begin"/>
      </w:r>
      <w:r w:rsidRPr="000B6220">
        <w:instrText xml:space="preserve"> SEQ level0 \*arabic </w:instrText>
      </w:r>
      <w:r w:rsidRPr="000B6220">
        <w:fldChar w:fldCharType="separate"/>
      </w:r>
      <w:r w:rsidR="00226498">
        <w:rPr>
          <w:noProof/>
        </w:rPr>
        <w:t>129</w:t>
      </w:r>
      <w:r w:rsidRPr="000B6220">
        <w:fldChar w:fldCharType="end"/>
      </w:r>
      <w:r w:rsidRPr="000B6220" w:rsidR="006C5B9E">
        <w:t>.  Aux termes de l</w:t>
      </w:r>
      <w:r w:rsidR="002257E9">
        <w:rPr>
          <w:rStyle w:val="JuNames"/>
        </w:rPr>
        <w:t>’</w:t>
      </w:r>
      <w:r w:rsidRPr="000B6220" w:rsidR="006C5B9E">
        <w:t>article 41 de la Convention,</w:t>
      </w:r>
    </w:p>
    <w:p w:rsidRPr="000B6220" w:rsidR="006C5B9E" w:rsidP="005618BF" w:rsidRDefault="006C5B9E">
      <w:pPr>
        <w:pStyle w:val="JuQuot"/>
      </w:pPr>
      <w:r w:rsidRPr="000B6220">
        <w:t>« Si la Cour déclare qu</w:t>
      </w:r>
      <w:r w:rsidR="002257E9">
        <w:t>’</w:t>
      </w:r>
      <w:r w:rsidRPr="000B6220">
        <w:t>il y a eu violation de la Convention ou de ses Protocoles, et si le droit interne de la Haute Partie contractante ne permet d</w:t>
      </w:r>
      <w:r w:rsidR="002257E9">
        <w:t>’</w:t>
      </w:r>
      <w:r w:rsidRPr="000B6220">
        <w:t>effacer qu</w:t>
      </w:r>
      <w:r w:rsidR="002257E9">
        <w:t>’</w:t>
      </w:r>
      <w:r w:rsidRPr="000B6220">
        <w:t>imparfaitement les conséquences de cette violation, la Cour accorde à la partie lésée, s</w:t>
      </w:r>
      <w:r w:rsidR="002257E9">
        <w:t>’</w:t>
      </w:r>
      <w:r w:rsidRPr="000B6220">
        <w:t>il y a lieu, une satisfaction équitable. »</w:t>
      </w:r>
    </w:p>
    <w:p w:rsidRPr="000B6220" w:rsidR="006C5B9E" w:rsidP="00E05F30" w:rsidRDefault="006C5B9E">
      <w:pPr>
        <w:pStyle w:val="JuHA"/>
        <w:outlineLvl w:val="0"/>
      </w:pPr>
      <w:r w:rsidRPr="000B6220">
        <w:t>A.  Dommage</w:t>
      </w:r>
    </w:p>
    <w:p w:rsidRPr="000B6220" w:rsidR="006C5B9E"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130</w:t>
      </w:r>
      <w:r w:rsidRPr="000B6220">
        <w:fldChar w:fldCharType="end"/>
      </w:r>
      <w:r w:rsidRPr="000B6220" w:rsidR="006C5B9E">
        <w:t>.  </w:t>
      </w:r>
      <w:r w:rsidRPr="000B6220" w:rsidR="009F457A">
        <w:t>Le requérant réclame 10 000 euros (EUR) pour dommage moral.</w:t>
      </w:r>
    </w:p>
    <w:p w:rsidRPr="000B6220" w:rsidR="00BF649A" w:rsidP="00E05F30" w:rsidRDefault="00BF649A">
      <w:pPr>
        <w:pStyle w:val="JuPara"/>
      </w:pPr>
      <w:r w:rsidRPr="000B6220">
        <w:fldChar w:fldCharType="begin"/>
      </w:r>
      <w:r w:rsidRPr="000B6220">
        <w:instrText xml:space="preserve"> SEQ level0 \*arabic </w:instrText>
      </w:r>
      <w:r w:rsidRPr="000B6220">
        <w:fldChar w:fldCharType="separate"/>
      </w:r>
      <w:r w:rsidR="00226498">
        <w:rPr>
          <w:noProof/>
        </w:rPr>
        <w:t>131</w:t>
      </w:r>
      <w:r w:rsidRPr="000B6220">
        <w:fldChar w:fldCharType="end"/>
      </w:r>
      <w:r w:rsidRPr="000B6220">
        <w:t>.  </w:t>
      </w:r>
      <w:r w:rsidRPr="000B6220" w:rsidR="007A4AD0">
        <w:t xml:space="preserve">Le Gouvernement trouve cette somme excessive. </w:t>
      </w:r>
      <w:r w:rsidR="00383122">
        <w:t>Il considère de surcroît que</w:t>
      </w:r>
      <w:r w:rsidRPr="000B6220" w:rsidR="007A4AD0">
        <w:t xml:space="preserve"> le requérant n</w:t>
      </w:r>
      <w:r w:rsidR="002257E9">
        <w:t>’</w:t>
      </w:r>
      <w:r w:rsidRPr="000B6220" w:rsidR="007A4AD0">
        <w:t xml:space="preserve">a pas prouvé avoir réellement subi un dommage moral. En tout état de cause, un constat de violation constituerait </w:t>
      </w:r>
      <w:r w:rsidR="00383122">
        <w:t xml:space="preserve">selon lui </w:t>
      </w:r>
      <w:r w:rsidRPr="000B6220" w:rsidR="007A4AD0">
        <w:t>une satisfaction équitable suffisante.</w:t>
      </w:r>
    </w:p>
    <w:p w:rsidRPr="000B6220" w:rsidR="007A4AD0" w:rsidP="00E05F30" w:rsidRDefault="007A4AD0">
      <w:pPr>
        <w:pStyle w:val="JuPara"/>
      </w:pPr>
      <w:r w:rsidRPr="000B6220">
        <w:fldChar w:fldCharType="begin"/>
      </w:r>
      <w:r w:rsidRPr="000B6220">
        <w:instrText xml:space="preserve"> SEQ level0 \*arabic </w:instrText>
      </w:r>
      <w:r w:rsidRPr="000B6220">
        <w:fldChar w:fldCharType="separate"/>
      </w:r>
      <w:r w:rsidR="00226498">
        <w:rPr>
          <w:noProof/>
        </w:rPr>
        <w:t>132</w:t>
      </w:r>
      <w:r w:rsidRPr="000B6220">
        <w:fldChar w:fldCharType="end"/>
      </w:r>
      <w:r w:rsidRPr="000B6220">
        <w:t xml:space="preserve">.  La Cour estime que le requérant a incontestablement </w:t>
      </w:r>
      <w:r w:rsidR="00A44C75">
        <w:t xml:space="preserve">subi </w:t>
      </w:r>
      <w:r w:rsidRPr="000B6220">
        <w:t xml:space="preserve">un dommage moral </w:t>
      </w:r>
      <w:r w:rsidR="00A44C75">
        <w:t>du fait</w:t>
      </w:r>
      <w:r w:rsidRPr="000B6220">
        <w:t xml:space="preserve"> de sa condamnation et de </w:t>
      </w:r>
      <w:r w:rsidR="001D0D05">
        <w:t>sa détention</w:t>
      </w:r>
      <w:r w:rsidRPr="000B6220">
        <w:t xml:space="preserve"> pour avoir refusé de servir dans l</w:t>
      </w:r>
      <w:r w:rsidR="002257E9">
        <w:t>’</w:t>
      </w:r>
      <w:r w:rsidRPr="000B6220">
        <w:t>armée pour des raisons de conscience. Statuant en équité, elle alloue à l</w:t>
      </w:r>
      <w:r w:rsidR="002257E9">
        <w:t>’</w:t>
      </w:r>
      <w:r w:rsidRPr="000B6220">
        <w:t>intéressé 10 000 EUR de ce chef.</w:t>
      </w:r>
    </w:p>
    <w:p w:rsidRPr="000B6220" w:rsidR="006C5B9E" w:rsidP="00E05F30" w:rsidRDefault="006C5B9E">
      <w:pPr>
        <w:pStyle w:val="JuHA"/>
        <w:outlineLvl w:val="0"/>
      </w:pPr>
      <w:r w:rsidRPr="000B6220">
        <w:t>B.  Frais et dépens</w:t>
      </w:r>
    </w:p>
    <w:p w:rsidRPr="000B6220" w:rsidR="006C5B9E"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133</w:t>
      </w:r>
      <w:r w:rsidRPr="000B6220">
        <w:fldChar w:fldCharType="end"/>
      </w:r>
      <w:r w:rsidRPr="000B6220" w:rsidR="006C5B9E">
        <w:t>.  </w:t>
      </w:r>
      <w:r w:rsidRPr="000B6220" w:rsidR="007A4AD0">
        <w:t xml:space="preserve">Le requérant </w:t>
      </w:r>
      <w:r w:rsidR="001D0D05">
        <w:t>sollicite</w:t>
      </w:r>
      <w:r w:rsidRPr="000B6220" w:rsidR="005862F4">
        <w:t xml:space="preserve"> au total 17 500 </w:t>
      </w:r>
      <w:r w:rsidRPr="000B6220" w:rsidR="00242619">
        <w:t xml:space="preserve">EUR pour frais et dépens ; cette somme représente les </w:t>
      </w:r>
      <w:r w:rsidR="00E21A7D">
        <w:t>frais de justice</w:t>
      </w:r>
      <w:r w:rsidRPr="000B6220" w:rsidR="00242619">
        <w:t xml:space="preserve"> </w:t>
      </w:r>
      <w:r w:rsidR="00296BB9">
        <w:t>afférents aux</w:t>
      </w:r>
      <w:r w:rsidRPr="000B6220" w:rsidR="00242619">
        <w:t xml:space="preserve"> différentes procédures, à savoir</w:t>
      </w:r>
      <w:r w:rsidRPr="000B6220" w:rsidR="005862F4">
        <w:t xml:space="preserve"> 3 000 EUR pour </w:t>
      </w:r>
      <w:r w:rsidRPr="000B6220" w:rsidR="00242619">
        <w:t>l</w:t>
      </w:r>
      <w:r w:rsidRPr="000B6220" w:rsidR="005862F4">
        <w:t xml:space="preserve">a procédure interne, 11 500 EUR </w:t>
      </w:r>
      <w:r w:rsidRPr="000B6220" w:rsidR="00242619">
        <w:t>pour</w:t>
      </w:r>
      <w:r w:rsidRPr="000B6220" w:rsidR="005862F4">
        <w:t xml:space="preserve"> la procédure devant la chambre et 3 000 </w:t>
      </w:r>
      <w:r w:rsidRPr="000B6220" w:rsidR="00242619">
        <w:t xml:space="preserve">EUR pour la procédure devant la Grande Chambre, y compris les frais </w:t>
      </w:r>
      <w:r w:rsidR="001D0D05">
        <w:t xml:space="preserve">concernant </w:t>
      </w:r>
      <w:r w:rsidRPr="000B6220" w:rsidR="00242619">
        <w:t xml:space="preserve">la </w:t>
      </w:r>
      <w:r w:rsidR="0025517A">
        <w:t>participation</w:t>
      </w:r>
      <w:r w:rsidRPr="000B6220" w:rsidR="00242619">
        <w:t xml:space="preserve"> à l</w:t>
      </w:r>
      <w:r w:rsidR="002257E9">
        <w:t>’</w:t>
      </w:r>
      <w:r w:rsidRPr="000B6220" w:rsidR="00242619">
        <w:t>audience</w:t>
      </w:r>
      <w:r w:rsidR="0025517A">
        <w:t xml:space="preserve"> devant celle-ci</w:t>
      </w:r>
      <w:r w:rsidRPr="000B6220" w:rsidR="00242619">
        <w:t xml:space="preserve">. Le requérant </w:t>
      </w:r>
      <w:r w:rsidR="00296BB9">
        <w:t>fournit</w:t>
      </w:r>
      <w:r w:rsidRPr="000B6220" w:rsidR="00242619">
        <w:t xml:space="preserve"> les factures de trois avocats, l</w:t>
      </w:r>
      <w:r w:rsidR="002257E9">
        <w:t>’</w:t>
      </w:r>
      <w:r w:rsidRPr="000B6220" w:rsidR="00242619">
        <w:t xml:space="preserve">un arménien et deux non arméniens, où figurent </w:t>
      </w:r>
      <w:r w:rsidRPr="000B6220" w:rsidR="009F45E9">
        <w:t>l</w:t>
      </w:r>
      <w:r w:rsidRPr="000B6220" w:rsidR="00242619">
        <w:t xml:space="preserve">es sommes forfaitaires à payer pour chaque partie du travail effectué </w:t>
      </w:r>
      <w:r w:rsidR="00513028">
        <w:t>jusqu</w:t>
      </w:r>
      <w:r w:rsidR="002257E9">
        <w:t>’</w:t>
      </w:r>
      <w:r w:rsidR="00513028">
        <w:t>à l</w:t>
      </w:r>
      <w:r w:rsidR="002257E9">
        <w:t>’</w:t>
      </w:r>
      <w:r w:rsidR="00513028">
        <w:t>adoption d</w:t>
      </w:r>
      <w:r w:rsidR="002257E9">
        <w:t>’</w:t>
      </w:r>
      <w:r w:rsidR="00513028">
        <w:t xml:space="preserve">une </w:t>
      </w:r>
      <w:r w:rsidRPr="000B6220" w:rsidR="00242619">
        <w:t>décision définitive en l</w:t>
      </w:r>
      <w:r w:rsidR="002257E9">
        <w:t>’</w:t>
      </w:r>
      <w:r w:rsidRPr="000B6220" w:rsidR="00242619">
        <w:t>espèce.</w:t>
      </w:r>
    </w:p>
    <w:p w:rsidRPr="000B6220" w:rsidR="00242619" w:rsidP="00E05F30" w:rsidRDefault="00242619">
      <w:pPr>
        <w:pStyle w:val="JuPara"/>
      </w:pPr>
      <w:r w:rsidRPr="000B6220">
        <w:fldChar w:fldCharType="begin"/>
      </w:r>
      <w:r w:rsidRPr="000B6220">
        <w:instrText xml:space="preserve"> SEQ level0 \*arabic </w:instrText>
      </w:r>
      <w:r w:rsidRPr="000B6220">
        <w:fldChar w:fldCharType="separate"/>
      </w:r>
      <w:r w:rsidR="00226498">
        <w:rPr>
          <w:noProof/>
        </w:rPr>
        <w:t>134</w:t>
      </w:r>
      <w:r w:rsidRPr="000B6220">
        <w:fldChar w:fldCharType="end"/>
      </w:r>
      <w:r w:rsidRPr="000B6220">
        <w:t>.  </w:t>
      </w:r>
      <w:r w:rsidRPr="000B6220" w:rsidR="009F45E9">
        <w:t xml:space="preserve">Le Gouvernement soutient que le requérant peut </w:t>
      </w:r>
      <w:r w:rsidR="00296BB9">
        <w:t xml:space="preserve">seulement </w:t>
      </w:r>
      <w:r w:rsidRPr="000B6220" w:rsidR="009F45E9">
        <w:t xml:space="preserve">réclamer le remboursement des frais </w:t>
      </w:r>
      <w:r w:rsidR="00CC1EA0">
        <w:t xml:space="preserve">et dépens </w:t>
      </w:r>
      <w:r w:rsidRPr="000B6220" w:rsidR="009F45E9">
        <w:t>relatifs à ses griefs tirés de l</w:t>
      </w:r>
      <w:r w:rsidR="002257E9">
        <w:t>’</w:t>
      </w:r>
      <w:r w:rsidRPr="000B6220" w:rsidR="009F45E9">
        <w:t xml:space="preserve">article 9, étant donné que ses griefs </w:t>
      </w:r>
      <w:r w:rsidR="00CC1EA0">
        <w:t>présentés sous l</w:t>
      </w:r>
      <w:r w:rsidR="002257E9">
        <w:t>’</w:t>
      </w:r>
      <w:r w:rsidR="00CC1EA0">
        <w:t>angle</w:t>
      </w:r>
      <w:r w:rsidRPr="000B6220" w:rsidR="009F45E9">
        <w:t xml:space="preserve"> d</w:t>
      </w:r>
      <w:r w:rsidR="002257E9">
        <w:t>’</w:t>
      </w:r>
      <w:r w:rsidRPr="000B6220" w:rsidR="009F45E9">
        <w:t>autres articles de la Convention ont été déclarés irrecevables. Quoi qu</w:t>
      </w:r>
      <w:r w:rsidR="002257E9">
        <w:t>’</w:t>
      </w:r>
      <w:r w:rsidR="00296BB9">
        <w:t>il en soit, l</w:t>
      </w:r>
      <w:r w:rsidRPr="000B6220" w:rsidR="009F45E9">
        <w:t xml:space="preserve">a demande de frais et dépens </w:t>
      </w:r>
      <w:r w:rsidRPr="000B6220" w:rsidR="00AC678D">
        <w:t>ne serait</w:t>
      </w:r>
      <w:r w:rsidRPr="000B6220" w:rsidR="009F45E9">
        <w:t xml:space="preserve"> pas dûment étayée par des documents, et </w:t>
      </w:r>
      <w:r w:rsidR="00296BB9">
        <w:t>l</w:t>
      </w:r>
      <w:r w:rsidR="002257E9">
        <w:t>’</w:t>
      </w:r>
      <w:r w:rsidR="00296BB9">
        <w:t>intéressé</w:t>
      </w:r>
      <w:r w:rsidRPr="000B6220" w:rsidR="009F45E9">
        <w:t xml:space="preserve"> n</w:t>
      </w:r>
      <w:r w:rsidR="002257E9">
        <w:t>’</w:t>
      </w:r>
      <w:r w:rsidRPr="000B6220" w:rsidR="009F45E9">
        <w:t>a</w:t>
      </w:r>
      <w:r w:rsidRPr="000B6220" w:rsidR="00AC678D">
        <w:t>urait</w:t>
      </w:r>
      <w:r w:rsidRPr="000B6220" w:rsidR="009F45E9">
        <w:t xml:space="preserve"> pas prouvé que ces </w:t>
      </w:r>
      <w:r w:rsidR="00CC1EA0">
        <w:t>frais ont</w:t>
      </w:r>
      <w:r w:rsidRPr="000B6220" w:rsidR="009F45E9">
        <w:t xml:space="preserve"> été réellement </w:t>
      </w:r>
      <w:r w:rsidR="00CC1EA0">
        <w:t>engagés</w:t>
      </w:r>
      <w:r w:rsidRPr="000B6220" w:rsidR="009F45E9">
        <w:t xml:space="preserve">. </w:t>
      </w:r>
      <w:r w:rsidRPr="000B6220" w:rsidR="00AC678D">
        <w:t xml:space="preserve">Les factures soumises par le requérant ne sauraient passer pour une preuve de paiement ni pour un accord entre lui et </w:t>
      </w:r>
      <w:r w:rsidR="0025517A">
        <w:t>ses avocats</w:t>
      </w:r>
      <w:r w:rsidRPr="000B6220" w:rsidR="00AC678D">
        <w:t xml:space="preserve"> en vue </w:t>
      </w:r>
      <w:r w:rsidR="00CC1EA0">
        <w:t>d</w:t>
      </w:r>
      <w:r w:rsidR="002257E9">
        <w:t>’</w:t>
      </w:r>
      <w:r w:rsidR="00CC1EA0">
        <w:t>un paiement</w:t>
      </w:r>
      <w:r w:rsidRPr="000B6220" w:rsidR="00AC678D">
        <w:t xml:space="preserve"> à une date ultérieure. En outre, il serait inacceptable de réclamer le remboursement de frais à venir, comme ceux relatifs à l</w:t>
      </w:r>
      <w:r w:rsidR="002257E9">
        <w:t>’</w:t>
      </w:r>
      <w:r w:rsidRPr="000B6220" w:rsidR="00AC678D">
        <w:t>audience. Du reste, les honoraires d</w:t>
      </w:r>
      <w:r w:rsidR="002257E9">
        <w:t>’</w:t>
      </w:r>
      <w:r w:rsidRPr="000B6220" w:rsidR="00AC678D">
        <w:t>avocat seraient exagérés, exorbitants et déraisonnable</w:t>
      </w:r>
      <w:r w:rsidR="00CC1EA0">
        <w:t>s</w:t>
      </w:r>
      <w:r w:rsidRPr="000B6220" w:rsidR="00AC678D">
        <w:t>, et le requérant aurait employé un nombre trop élevé d</w:t>
      </w:r>
      <w:r w:rsidR="002257E9">
        <w:t>’</w:t>
      </w:r>
      <w:r w:rsidRPr="000B6220" w:rsidR="00AC678D">
        <w:t xml:space="preserve">avocats, ce qui aurait aussi entraîné une certaine redondance du travail. </w:t>
      </w:r>
      <w:r w:rsidRPr="000B6220" w:rsidR="00B30506">
        <w:t>Enfin, les deux avocats étrangers résideraient au Canada et ne rempliraient donc pas les conditions nécessaires pour représenter le requérant.</w:t>
      </w:r>
    </w:p>
    <w:p w:rsidRPr="000B6220" w:rsidR="00B30506" w:rsidP="00E05F30" w:rsidRDefault="00B30506">
      <w:pPr>
        <w:pStyle w:val="JuPara"/>
      </w:pPr>
      <w:r w:rsidRPr="000B6220">
        <w:fldChar w:fldCharType="begin"/>
      </w:r>
      <w:r w:rsidRPr="000B6220">
        <w:instrText xml:space="preserve"> SEQ level0 \*arabic </w:instrText>
      </w:r>
      <w:r w:rsidRPr="000B6220">
        <w:fldChar w:fldCharType="separate"/>
      </w:r>
      <w:r w:rsidR="00226498">
        <w:rPr>
          <w:noProof/>
        </w:rPr>
        <w:t>135</w:t>
      </w:r>
      <w:r w:rsidRPr="000B6220">
        <w:fldChar w:fldCharType="end"/>
      </w:r>
      <w:r w:rsidRPr="000B6220">
        <w:t xml:space="preserve">.  La Cour rappelle que </w:t>
      </w:r>
      <w:r w:rsidRPr="000B6220" w:rsidR="00741C50">
        <w:t xml:space="preserve">les frais de justice ne sont recouvrables que dans la mesure où ils se rapportent à la violation constatée </w:t>
      </w:r>
      <w:r w:rsidRPr="000B6220">
        <w:t>(</w:t>
      </w:r>
      <w:r w:rsidRPr="000B6220" w:rsidR="00EC0FD2">
        <w:rPr>
          <w:i/>
        </w:rPr>
        <w:t>Beyeler c. Italie</w:t>
      </w:r>
      <w:r w:rsidRPr="000B6220" w:rsidR="00EC0FD2">
        <w:t xml:space="preserve"> (satisfaction équitable) [GC], n</w:t>
      </w:r>
      <w:r w:rsidRPr="000B6220" w:rsidR="00EC0FD2">
        <w:rPr>
          <w:vertAlign w:val="superscript"/>
        </w:rPr>
        <w:t>o</w:t>
      </w:r>
      <w:r w:rsidRPr="000B6220" w:rsidR="00EC0FD2">
        <w:t xml:space="preserve"> 33202/96, § 27, 28 mai 2002). </w:t>
      </w:r>
      <w:r w:rsidRPr="000B6220" w:rsidR="00741C50">
        <w:t>En l</w:t>
      </w:r>
      <w:r w:rsidR="002257E9">
        <w:t>’</w:t>
      </w:r>
      <w:r w:rsidRPr="000B6220" w:rsidR="00741C50">
        <w:t>espèce, la requête initialement adressée par l</w:t>
      </w:r>
      <w:r w:rsidR="002257E9">
        <w:t>’</w:t>
      </w:r>
      <w:r w:rsidRPr="000B6220" w:rsidR="00741C50">
        <w:t>intéressé à la Cour comportait de nombreux griefs tirés de l</w:t>
      </w:r>
      <w:r w:rsidR="002257E9">
        <w:t>’</w:t>
      </w:r>
      <w:r w:rsidRPr="000B6220" w:rsidR="00741C50">
        <w:t>article 5 §§1, 3 et 5, de l</w:t>
      </w:r>
      <w:r w:rsidR="002257E9">
        <w:t>’</w:t>
      </w:r>
      <w:r w:rsidRPr="000B6220" w:rsidR="00741C50">
        <w:t>article 6 et de l</w:t>
      </w:r>
      <w:r w:rsidR="002257E9">
        <w:t>’</w:t>
      </w:r>
      <w:r w:rsidR="00C27424">
        <w:t xml:space="preserve">article </w:t>
      </w:r>
      <w:r w:rsidRPr="000B6220" w:rsidR="00741C50">
        <w:t xml:space="preserve">14 de la Convention, qui </w:t>
      </w:r>
      <w:r w:rsidR="00BC19D6">
        <w:t xml:space="preserve">tous </w:t>
      </w:r>
      <w:r w:rsidRPr="000B6220" w:rsidR="00741C50">
        <w:t>ont été déclarés irrecevables. C</w:t>
      </w:r>
      <w:r w:rsidR="002257E9">
        <w:t>’</w:t>
      </w:r>
      <w:r w:rsidRPr="000B6220" w:rsidR="00741C50">
        <w:t xml:space="preserve">est pourquoi </w:t>
      </w:r>
      <w:r w:rsidR="00287CD0">
        <w:t>la Cour</w:t>
      </w:r>
      <w:r w:rsidRPr="000B6220" w:rsidR="00741C50">
        <w:t xml:space="preserve"> ne peut accueillir la demande dans son intégralité et doit appliquer une réduction. C</w:t>
      </w:r>
      <w:r w:rsidR="006B2278">
        <w:t>ontrairement au Gouvernement, c</w:t>
      </w:r>
      <w:r w:rsidRPr="000B6220" w:rsidR="00741C50">
        <w:t xml:space="preserve">ependant, </w:t>
      </w:r>
      <w:r w:rsidRPr="000B6220" w:rsidR="00F56F69">
        <w:t>elle</w:t>
      </w:r>
      <w:r w:rsidRPr="000B6220" w:rsidR="00741C50">
        <w:t xml:space="preserve"> ne </w:t>
      </w:r>
      <w:r w:rsidR="006B2278">
        <w:t>pense pas</w:t>
      </w:r>
      <w:r w:rsidRPr="000B6220" w:rsidR="00F56F69">
        <w:t xml:space="preserve"> que</w:t>
      </w:r>
      <w:r w:rsidRPr="000B6220" w:rsidR="00741C50">
        <w:t xml:space="preserve"> les demandes du requérant ne so</w:t>
      </w:r>
      <w:r w:rsidR="006B2278">
        <w:t>ie</w:t>
      </w:r>
      <w:r w:rsidRPr="000B6220" w:rsidR="00741C50">
        <w:t xml:space="preserve">nt pas dûment documentées ou </w:t>
      </w:r>
      <w:r w:rsidRPr="000B6220" w:rsidR="00F56F69">
        <w:t xml:space="preserve">que </w:t>
      </w:r>
      <w:r w:rsidRPr="000B6220" w:rsidR="00741C50">
        <w:t xml:space="preserve">les honoraires </w:t>
      </w:r>
      <w:r w:rsidRPr="000B6220" w:rsidR="00F56F69">
        <w:t>so</w:t>
      </w:r>
      <w:r w:rsidR="006B2278">
        <w:t>ie</w:t>
      </w:r>
      <w:r w:rsidRPr="000B6220" w:rsidR="00F56F69">
        <w:t>nt</w:t>
      </w:r>
      <w:r w:rsidRPr="000B6220" w:rsidR="00741C50">
        <w:t xml:space="preserve"> exagérés ou déraisonnables. Elle ne </w:t>
      </w:r>
      <w:r w:rsidR="0025517A">
        <w:t>souscrit</w:t>
      </w:r>
      <w:r w:rsidRPr="000B6220" w:rsidR="00741C50">
        <w:t xml:space="preserve"> pas non plus </w:t>
      </w:r>
      <w:r w:rsidR="0025517A">
        <w:t xml:space="preserve">à </w:t>
      </w:r>
      <w:r w:rsidRPr="000B6220" w:rsidR="00741C50">
        <w:t>l</w:t>
      </w:r>
      <w:r w:rsidR="002257E9">
        <w:t>’</w:t>
      </w:r>
      <w:r w:rsidRPr="000B6220" w:rsidR="00741C50">
        <w:t>argument avancé par le Gouvernement au sujet des deux</w:t>
      </w:r>
      <w:r w:rsidRPr="000B6220" w:rsidR="00F56F69">
        <w:t xml:space="preserve"> avocats étrangers</w:t>
      </w:r>
      <w:r w:rsidRPr="000B6220" w:rsidR="00741C50">
        <w:t xml:space="preserve">, car ceux-ci ont tous deux été autorisés à représenter le requérant devant la Cour. </w:t>
      </w:r>
      <w:r w:rsidR="00CC1EA0">
        <w:t xml:space="preserve">Se livrant </w:t>
      </w:r>
      <w:r w:rsidRPr="000B6220" w:rsidR="00741C50">
        <w:t xml:space="preserve">à sa propre </w:t>
      </w:r>
      <w:r w:rsidR="00CC1EA0">
        <w:t>appréciation</w:t>
      </w:r>
      <w:r w:rsidRPr="000B6220" w:rsidR="00741C50">
        <w:t xml:space="preserve"> sur la base des informations dont elle dispose</w:t>
      </w:r>
      <w:r w:rsidR="00821CDB">
        <w:t>, la Cour alloue au requérant 10</w:t>
      </w:r>
      <w:r w:rsidRPr="000B6220" w:rsidR="00741C50">
        <w:t> 000 EUR pour frais et dépens.</w:t>
      </w:r>
    </w:p>
    <w:p w:rsidRPr="000B6220" w:rsidR="006C5B9E" w:rsidP="00E05F30" w:rsidRDefault="006C5B9E">
      <w:pPr>
        <w:pStyle w:val="JuHA"/>
        <w:outlineLvl w:val="0"/>
      </w:pPr>
      <w:r w:rsidRPr="000B6220">
        <w:t>C.  Intérêts moratoires</w:t>
      </w:r>
    </w:p>
    <w:p w:rsidRPr="000B6220" w:rsidR="00466B90" w:rsidP="00E05F30" w:rsidRDefault="00BB71B1">
      <w:pPr>
        <w:pStyle w:val="JuPara"/>
      </w:pPr>
      <w:r w:rsidRPr="000B6220">
        <w:fldChar w:fldCharType="begin"/>
      </w:r>
      <w:r w:rsidRPr="000B6220">
        <w:instrText xml:space="preserve"> SEQ level0 \*arabic </w:instrText>
      </w:r>
      <w:r w:rsidRPr="000B6220">
        <w:fldChar w:fldCharType="separate"/>
      </w:r>
      <w:r w:rsidR="00226498">
        <w:rPr>
          <w:noProof/>
        </w:rPr>
        <w:t>136</w:t>
      </w:r>
      <w:r w:rsidRPr="000B6220">
        <w:fldChar w:fldCharType="end"/>
      </w:r>
      <w:r w:rsidRPr="000B6220" w:rsidR="006C5B9E">
        <w:t xml:space="preserve">.  La Cour juge approprié de </w:t>
      </w:r>
      <w:r w:rsidRPr="000B6220" w:rsidR="00794A88">
        <w:t>calquer</w:t>
      </w:r>
      <w:r w:rsidRPr="000B6220" w:rsidR="006C5B9E">
        <w:t xml:space="preserve"> le taux des intérêts moratoires sur le taux d</w:t>
      </w:r>
      <w:r w:rsidR="002257E9">
        <w:t>’</w:t>
      </w:r>
      <w:r w:rsidRPr="000B6220" w:rsidR="006C5B9E">
        <w:t>intérêt de la facilité de prêt marginal de la Banque centrale européenne majoré de trois points de pourcentage.</w:t>
      </w:r>
    </w:p>
    <w:p w:rsidRPr="000B6220" w:rsidR="006C5B9E" w:rsidP="00E05F30" w:rsidRDefault="001838D5">
      <w:pPr>
        <w:pStyle w:val="JuHHead"/>
      </w:pPr>
      <w:r>
        <w:t>PAR CES MOTIFS, LA COUR</w:t>
      </w:r>
    </w:p>
    <w:p w:rsidRPr="000B6220" w:rsidR="006C5B9E" w:rsidP="00E05F30" w:rsidRDefault="009F457A">
      <w:pPr>
        <w:pStyle w:val="JuList"/>
      </w:pPr>
      <w:r w:rsidRPr="000B6220">
        <w:t>1</w:t>
      </w:r>
      <w:r w:rsidRPr="000B6220" w:rsidR="006C5B9E">
        <w:t>.  </w:t>
      </w:r>
      <w:r w:rsidRPr="000B6220" w:rsidR="006C5B9E">
        <w:rPr>
          <w:i/>
        </w:rPr>
        <w:t>Dit</w:t>
      </w:r>
      <w:r w:rsidRPr="000B6220" w:rsidR="00BB71B1">
        <w:t xml:space="preserve">, par </w:t>
      </w:r>
      <w:r w:rsidR="001838D5">
        <w:t xml:space="preserve">seize </w:t>
      </w:r>
      <w:r w:rsidRPr="000B6220" w:rsidR="00BB71B1">
        <w:t xml:space="preserve">voix contre </w:t>
      </w:r>
      <w:r w:rsidR="001838D5">
        <w:t>une</w:t>
      </w:r>
      <w:r w:rsidRPr="000B6220" w:rsidR="00BB71B1">
        <w:t xml:space="preserve">, </w:t>
      </w:r>
      <w:r w:rsidRPr="000B6220" w:rsidR="006C5B9E">
        <w:t>qu</w:t>
      </w:r>
      <w:r w:rsidR="002257E9">
        <w:t>’</w:t>
      </w:r>
      <w:r w:rsidRPr="000B6220" w:rsidR="006C5B9E">
        <w:t>il y a eu violation de l</w:t>
      </w:r>
      <w:r w:rsidR="002257E9">
        <w:t>’</w:t>
      </w:r>
      <w:r w:rsidRPr="000B6220" w:rsidR="006C5B9E">
        <w:t xml:space="preserve">article </w:t>
      </w:r>
      <w:r w:rsidRPr="000B6220">
        <w:t>9</w:t>
      </w:r>
      <w:r w:rsidRPr="000B6220" w:rsidR="006C5B9E">
        <w:t xml:space="preserve"> de la Convention ;</w:t>
      </w:r>
    </w:p>
    <w:p w:rsidRPr="000B6220" w:rsidR="006C5B9E" w:rsidP="00E05F30" w:rsidRDefault="006C5B9E">
      <w:pPr>
        <w:pStyle w:val="JuList"/>
      </w:pPr>
    </w:p>
    <w:p w:rsidRPr="000B6220" w:rsidR="006C5B9E" w:rsidP="00E05F30" w:rsidRDefault="009F457A">
      <w:pPr>
        <w:pStyle w:val="JuList"/>
      </w:pPr>
      <w:r w:rsidRPr="000B6220">
        <w:t>2</w:t>
      </w:r>
      <w:r w:rsidRPr="000B6220" w:rsidR="006C5B9E">
        <w:t>.  </w:t>
      </w:r>
      <w:r w:rsidRPr="000B6220" w:rsidR="006C5B9E">
        <w:rPr>
          <w:i/>
        </w:rPr>
        <w:t>Dit</w:t>
      </w:r>
      <w:r w:rsidRPr="000B6220" w:rsidR="00BB71B1">
        <w:t xml:space="preserve">, par </w:t>
      </w:r>
      <w:r w:rsidR="001838D5">
        <w:t>seize</w:t>
      </w:r>
      <w:r w:rsidRPr="000B6220" w:rsidR="00BB71B1">
        <w:t xml:space="preserve"> voix contre </w:t>
      </w:r>
      <w:r w:rsidR="001838D5">
        <w:t>une</w:t>
      </w:r>
      <w:r w:rsidRPr="000B6220" w:rsidR="00BB71B1">
        <w:t>,</w:t>
      </w:r>
    </w:p>
    <w:p w:rsidRPr="000B6220" w:rsidR="006C5B9E" w:rsidP="00E05F30" w:rsidRDefault="006C5B9E">
      <w:pPr>
        <w:pStyle w:val="JuLista"/>
      </w:pPr>
      <w:r w:rsidRPr="000B6220">
        <w:t>a)  que l</w:t>
      </w:r>
      <w:r w:rsidR="002257E9">
        <w:rPr>
          <w:rStyle w:val="JuNames"/>
        </w:rPr>
        <w:t>’</w:t>
      </w:r>
      <w:r w:rsidRPr="000B6220">
        <w:t xml:space="preserve">Etat défendeur doit verser </w:t>
      </w:r>
      <w:r w:rsidRPr="000B6220" w:rsidR="00BB71B1">
        <w:t>au requérant</w:t>
      </w:r>
      <w:r w:rsidRPr="000B6220">
        <w:t xml:space="preserve">, dans les trois mois, </w:t>
      </w:r>
      <w:r w:rsidRPr="000B6220" w:rsidR="009F457A">
        <w:t>les sommes suivantes</w:t>
      </w:r>
      <w:r w:rsidRPr="000B6220" w:rsidR="00CF7ED9">
        <w:t xml:space="preserve">, à convertir en </w:t>
      </w:r>
      <w:r w:rsidRPr="000B6220" w:rsidR="009F457A">
        <w:t xml:space="preserve">drams arméniens </w:t>
      </w:r>
      <w:r w:rsidRPr="000B6220" w:rsidR="00CF7ED9">
        <w:t>au taux ap</w:t>
      </w:r>
      <w:r w:rsidRPr="000B6220" w:rsidR="009F457A">
        <w:t>plicable à la date du règlement</w:t>
      </w:r>
      <w:r w:rsidRPr="000B6220">
        <w:t> :</w:t>
      </w:r>
    </w:p>
    <w:p w:rsidRPr="000B6220" w:rsidR="006C5B9E" w:rsidP="00E05F30" w:rsidRDefault="006C5B9E">
      <w:pPr>
        <w:pStyle w:val="JuListi"/>
      </w:pPr>
      <w:r w:rsidRPr="000B6220">
        <w:t>i.  </w:t>
      </w:r>
      <w:r w:rsidRPr="000B6220" w:rsidR="009F457A">
        <w:t>10 000</w:t>
      </w:r>
      <w:r w:rsidRPr="000B6220">
        <w:t xml:space="preserve"> EUR </w:t>
      </w:r>
      <w:r w:rsidRPr="000B6220" w:rsidR="009F457A">
        <w:t>(dix mille</w:t>
      </w:r>
      <w:r w:rsidRPr="000B6220">
        <w:t xml:space="preserve"> euros)</w:t>
      </w:r>
      <w:r w:rsidRPr="000B6220" w:rsidR="007719DF">
        <w:t>, plus tout montant pouvant être dû à titre d</w:t>
      </w:r>
      <w:r w:rsidR="002257E9">
        <w:t>’</w:t>
      </w:r>
      <w:r w:rsidRPr="000B6220" w:rsidR="009F457A">
        <w:t>impôt,</w:t>
      </w:r>
      <w:r w:rsidRPr="000B6220">
        <w:t xml:space="preserve"> pour dommage </w:t>
      </w:r>
      <w:r w:rsidRPr="000B6220" w:rsidR="009F457A">
        <w:t>moral</w:t>
      </w:r>
      <w:r w:rsidR="009F14D0">
        <w:t>,</w:t>
      </w:r>
    </w:p>
    <w:p w:rsidRPr="000B6220" w:rsidR="006C5B9E" w:rsidP="00E05F30" w:rsidRDefault="006C5B9E">
      <w:pPr>
        <w:pStyle w:val="JuListi"/>
      </w:pPr>
      <w:r w:rsidRPr="000B6220">
        <w:t>ii.  </w:t>
      </w:r>
      <w:r w:rsidR="00821CDB">
        <w:t>10</w:t>
      </w:r>
      <w:r w:rsidRPr="000B6220" w:rsidR="009F457A">
        <w:t xml:space="preserve"> 000</w:t>
      </w:r>
      <w:r w:rsidRPr="000B6220">
        <w:t xml:space="preserve"> EUR </w:t>
      </w:r>
      <w:r w:rsidRPr="000B6220" w:rsidR="009F457A">
        <w:t>(</w:t>
      </w:r>
      <w:r w:rsidR="00821CDB">
        <w:t>dix</w:t>
      </w:r>
      <w:r w:rsidRPr="000B6220" w:rsidR="009F457A">
        <w:t xml:space="preserve"> mille</w:t>
      </w:r>
      <w:r w:rsidRPr="000B6220">
        <w:t xml:space="preserve"> euros)</w:t>
      </w:r>
      <w:r w:rsidRPr="000B6220" w:rsidR="007719DF">
        <w:t>, plus tout montant pouvant être dû à titre d</w:t>
      </w:r>
      <w:r w:rsidR="002257E9">
        <w:t>’</w:t>
      </w:r>
      <w:r w:rsidRPr="000B6220" w:rsidR="007719DF">
        <w:t>impôt</w:t>
      </w:r>
      <w:r w:rsidRPr="000B6220" w:rsidR="00F273C2">
        <w:t xml:space="preserve"> par </w:t>
      </w:r>
      <w:r w:rsidRPr="000B6220" w:rsidR="00BB71B1">
        <w:t>le requérant</w:t>
      </w:r>
      <w:r w:rsidRPr="000B6220" w:rsidR="007719DF">
        <w:t>,</w:t>
      </w:r>
      <w:r w:rsidRPr="000B6220">
        <w:t xml:space="preserve"> pour frais et dépens ;</w:t>
      </w:r>
    </w:p>
    <w:p w:rsidRPr="000B6220" w:rsidR="006C5B9E" w:rsidP="00E05F30" w:rsidRDefault="006C5B9E">
      <w:pPr>
        <w:pStyle w:val="JuLista"/>
      </w:pPr>
      <w:r w:rsidRPr="000B6220">
        <w:t>b)  qu</w:t>
      </w:r>
      <w:r w:rsidR="002257E9">
        <w:t>’</w:t>
      </w:r>
      <w:r w:rsidRPr="000B6220">
        <w:t>à compter de l</w:t>
      </w:r>
      <w:r w:rsidR="002257E9">
        <w:t>’</w:t>
      </w:r>
      <w:r w:rsidRPr="000B6220">
        <w:t>expiration dudit délai et jusqu</w:t>
      </w:r>
      <w:r w:rsidR="002257E9">
        <w:t>’</w:t>
      </w:r>
      <w:r w:rsidRPr="000B6220" w:rsidR="009F457A">
        <w:t>au versement, ces</w:t>
      </w:r>
      <w:r w:rsidRPr="000B6220">
        <w:t xml:space="preserve"> montant</w:t>
      </w:r>
      <w:r w:rsidRPr="000B6220" w:rsidR="009F457A">
        <w:t>s</w:t>
      </w:r>
      <w:r w:rsidRPr="000B6220">
        <w:t xml:space="preserve"> seront à majorer d</w:t>
      </w:r>
      <w:r w:rsidR="002257E9">
        <w:t>’</w:t>
      </w:r>
      <w:r w:rsidRPr="000B6220">
        <w:t>un intérêt simple à un taux égal à celui de la facilité de prêt marginal de la Banque centrale européenne applicable pendant cette période, augmenté de trois points de pourcentage ;</w:t>
      </w:r>
    </w:p>
    <w:p w:rsidRPr="000B6220" w:rsidR="006C5B9E" w:rsidP="00E05F30" w:rsidRDefault="006C5B9E">
      <w:pPr>
        <w:pStyle w:val="JuLista"/>
      </w:pPr>
    </w:p>
    <w:p w:rsidRPr="000B6220" w:rsidR="006C5B9E" w:rsidP="00E05F30" w:rsidRDefault="009F457A">
      <w:pPr>
        <w:pStyle w:val="JuList"/>
      </w:pPr>
      <w:r w:rsidRPr="000B6220">
        <w:t>3</w:t>
      </w:r>
      <w:r w:rsidRPr="000B6220" w:rsidR="006C5B9E">
        <w:t>.  </w:t>
      </w:r>
      <w:r w:rsidRPr="000B6220" w:rsidR="006C5B9E">
        <w:rPr>
          <w:i/>
        </w:rPr>
        <w:t>Rejette</w:t>
      </w:r>
      <w:r w:rsidRPr="000B6220" w:rsidR="00BB71B1">
        <w:t>, à l</w:t>
      </w:r>
      <w:r w:rsidR="002257E9">
        <w:t>’</w:t>
      </w:r>
      <w:r w:rsidRPr="000B6220" w:rsidR="00BB71B1">
        <w:t xml:space="preserve">unanimité, </w:t>
      </w:r>
      <w:r w:rsidRPr="000B6220" w:rsidR="006C5B9E">
        <w:t>la demande de satisfaction équitable pour le surplus.</w:t>
      </w:r>
    </w:p>
    <w:p w:rsidRPr="0040620C" w:rsidR="0040620C" w:rsidP="00EE1E90" w:rsidRDefault="006C5B9E">
      <w:pPr>
        <w:pStyle w:val="JuParaLast"/>
      </w:pPr>
      <w:r w:rsidRPr="000B6220">
        <w:t>Fait en français</w:t>
      </w:r>
      <w:r w:rsidRPr="000B6220" w:rsidR="00BB71B1">
        <w:t xml:space="preserve"> et en anglais</w:t>
      </w:r>
      <w:r w:rsidRPr="000B6220">
        <w:t xml:space="preserve">, puis prononcé en audience publique au Palais des </w:t>
      </w:r>
      <w:r w:rsidRPr="000B6220" w:rsidR="003D71AE">
        <w:t>d</w:t>
      </w:r>
      <w:r w:rsidRPr="000B6220">
        <w:t>roits de l</w:t>
      </w:r>
      <w:r w:rsidR="002257E9">
        <w:t>’</w:t>
      </w:r>
      <w:r w:rsidRPr="000B6220" w:rsidR="003D71AE">
        <w:t>h</w:t>
      </w:r>
      <w:r w:rsidRPr="000B6220">
        <w:t xml:space="preserve">omme, à Strasbourg, le </w:t>
      </w:r>
      <w:r w:rsidR="005E7243">
        <w:t>7 juillet 2011</w:t>
      </w:r>
      <w:r w:rsidRPr="000B6220">
        <w:t>.</w:t>
      </w:r>
    </w:p>
    <w:p w:rsidRPr="0040620C" w:rsidR="0040620C" w:rsidP="00C06C9B" w:rsidRDefault="000B718E">
      <w:pPr>
        <w:pStyle w:val="JuSigned"/>
        <w:keepNext/>
        <w:keepLines/>
      </w:pPr>
      <w:r w:rsidRPr="000B6220">
        <w:tab/>
      </w:r>
      <w:r w:rsidR="005532A1">
        <w:t>Vincent Berger</w:t>
      </w:r>
      <w:r w:rsidRPr="000B6220" w:rsidR="009F457A">
        <w:tab/>
        <w:t>Jean-Paul Costa</w:t>
      </w:r>
      <w:r w:rsidRPr="000B6220" w:rsidR="00DF3F95">
        <w:br/>
      </w:r>
      <w:r w:rsidRPr="000B6220" w:rsidR="00DF3F95">
        <w:tab/>
      </w:r>
      <w:r w:rsidR="005532A1">
        <w:t>Jurisconsulte</w:t>
      </w:r>
      <w:r w:rsidRPr="000B6220" w:rsidR="00DF3F95">
        <w:tab/>
      </w:r>
      <w:r w:rsidRPr="000B6220" w:rsidR="00BB71B1">
        <w:t>Président</w:t>
      </w:r>
    </w:p>
    <w:p w:rsidR="00546341" w:rsidP="00546341" w:rsidRDefault="006C5B9E">
      <w:pPr>
        <w:pStyle w:val="JuParaLast"/>
      </w:pPr>
      <w:r w:rsidRPr="000B6220">
        <w:t>Au présent arrêt se trouve joint, conformément aux articles 45 § 2 de la Convention et 74 § 2 du règlement, l</w:t>
      </w:r>
      <w:r w:rsidR="002257E9">
        <w:t>’</w:t>
      </w:r>
      <w:r w:rsidRPr="000B6220">
        <w:t>exposé de l</w:t>
      </w:r>
      <w:r w:rsidR="002257E9">
        <w:t>’</w:t>
      </w:r>
      <w:r w:rsidRPr="000B6220">
        <w:t>opinion</w:t>
      </w:r>
      <w:r w:rsidR="00F9662D">
        <w:t xml:space="preserve"> </w:t>
      </w:r>
      <w:r w:rsidR="004F0D7A">
        <w:t xml:space="preserve">séparée </w:t>
      </w:r>
      <w:r w:rsidR="00F1793E">
        <w:t xml:space="preserve">de </w:t>
      </w:r>
      <w:r w:rsidRPr="000B6220" w:rsidR="00566162">
        <w:t>la</w:t>
      </w:r>
      <w:r w:rsidR="00F9662D">
        <w:t xml:space="preserve"> </w:t>
      </w:r>
      <w:r w:rsidRPr="000B6220" w:rsidR="00566162">
        <w:t>juge</w:t>
      </w:r>
      <w:r w:rsidRPr="000B6220">
        <w:t xml:space="preserve"> </w:t>
      </w:r>
      <w:r w:rsidR="00F9662D">
        <w:t>Gyulumyan.</w:t>
      </w:r>
    </w:p>
    <w:p w:rsidRPr="00546341" w:rsidR="00546341" w:rsidP="00546341" w:rsidRDefault="00546341">
      <w:pPr>
        <w:pStyle w:val="JuPara"/>
      </w:pPr>
    </w:p>
    <w:p w:rsidR="00546341" w:rsidP="00546341" w:rsidRDefault="00546341">
      <w:pPr>
        <w:pStyle w:val="JuInitialled"/>
        <w:sectPr w:rsidR="00546341" w:rsidSect="00546341">
          <w:headerReference w:type="even" r:id="rId9"/>
          <w:headerReference w:type="default" r:id="rId10"/>
          <w:footnotePr>
            <w:numRestart w:val="eachPage"/>
          </w:footnotePr>
          <w:pgSz w:w="11906" w:h="16838" w:code="9"/>
          <w:pgMar w:top="2274" w:right="2274" w:bottom="2274" w:left="2274" w:header="1701" w:footer="720" w:gutter="0"/>
          <w:pgNumType w:start="1"/>
          <w:cols w:space="720"/>
          <w:docGrid w:linePitch="245"/>
        </w:sectPr>
      </w:pPr>
      <w:r>
        <w:t>J.-P.C.</w:t>
      </w:r>
      <w:r w:rsidRPr="00AA6FE3">
        <w:br/>
      </w:r>
      <w:r>
        <w:t>V.B.</w:t>
      </w:r>
    </w:p>
    <w:p w:rsidR="00E40C8E" w:rsidP="00E40C8E" w:rsidRDefault="00E40C8E">
      <w:pPr>
        <w:pStyle w:val="OpiHHead"/>
      </w:pPr>
      <w:r>
        <w:t>OPINION DISSIDENTE DE LA JUGE GYULUMYAN</w:t>
      </w:r>
    </w:p>
    <w:p w:rsidR="00E40C8E" w:rsidP="00E40C8E" w:rsidRDefault="00E40C8E">
      <w:pPr>
        <w:pStyle w:val="OpiTranslation"/>
        <w:rPr>
          <w:i w:val="0"/>
        </w:rPr>
      </w:pPr>
      <w:r>
        <w:rPr>
          <w:i w:val="0"/>
        </w:rPr>
        <w:t>(</w:t>
      </w:r>
      <w:r w:rsidRPr="00644B02">
        <w:t>Traduction</w:t>
      </w:r>
      <w:r>
        <w:rPr>
          <w:i w:val="0"/>
        </w:rPr>
        <w:t>)</w:t>
      </w:r>
    </w:p>
    <w:p w:rsidR="00E40C8E" w:rsidP="005618BF" w:rsidRDefault="00E40C8E">
      <w:pPr>
        <w:pStyle w:val="OpiPara"/>
      </w:pPr>
      <w:r>
        <w:t>Je regrette de ne pouvoir souscrire à l</w:t>
      </w:r>
      <w:r w:rsidR="002257E9">
        <w:t>’</w:t>
      </w:r>
      <w:r>
        <w:t>opinion de la majorité de la Grande Chambre selon laquelle il y a eu violation de l</w:t>
      </w:r>
      <w:r w:rsidR="002257E9">
        <w:t>’</w:t>
      </w:r>
      <w:r>
        <w:t>article 9 de la Convention en l</w:t>
      </w:r>
      <w:r w:rsidR="002257E9">
        <w:t>’</w:t>
      </w:r>
      <w:r>
        <w:t>espèce.</w:t>
      </w:r>
    </w:p>
    <w:p w:rsidR="00E40C8E" w:rsidP="005618BF" w:rsidRDefault="00E40C8E">
      <w:pPr>
        <w:pStyle w:val="OpiPara"/>
      </w:pPr>
      <w:r>
        <w:t>1.  Le requérant</w:t>
      </w:r>
      <w:r w:rsidR="00F94336">
        <w:t>,</w:t>
      </w:r>
      <w:r>
        <w:t xml:space="preserve"> dans la présente affaire</w:t>
      </w:r>
      <w:r w:rsidR="00F94336">
        <w:t>,</w:t>
      </w:r>
      <w:r>
        <w:t xml:space="preserve"> fut condamné pour avoir refusé,</w:t>
      </w:r>
      <w:r w:rsidRPr="00616424">
        <w:t xml:space="preserve"> </w:t>
      </w:r>
      <w:r>
        <w:t>pour des motifs de conscience, d</w:t>
      </w:r>
      <w:r w:rsidR="002257E9">
        <w:t>’</w:t>
      </w:r>
      <w:r>
        <w:t>accomplir son service militaire. Il n</w:t>
      </w:r>
      <w:r w:rsidR="002257E9">
        <w:t>’</w:t>
      </w:r>
      <w:r>
        <w:t>existait en effet à l</w:t>
      </w:r>
      <w:r w:rsidR="002257E9">
        <w:t>’</w:t>
      </w:r>
      <w:r>
        <w:t>époque pertinente en Arménie aucune loi prévoyant la possibilité pour les objecteurs de conscience d</w:t>
      </w:r>
      <w:r w:rsidR="002257E9">
        <w:t>’</w:t>
      </w:r>
      <w:r>
        <w:t>effectuer un service civil de remplacement. L</w:t>
      </w:r>
      <w:r w:rsidR="002257E9">
        <w:t>’</w:t>
      </w:r>
      <w:r>
        <w:t xml:space="preserve">intéressé fut condamné à </w:t>
      </w:r>
      <w:r w:rsidRPr="00AE590D">
        <w:rPr>
          <w:i/>
        </w:rPr>
        <w:t>deux ans et demi</w:t>
      </w:r>
      <w:r>
        <w:t xml:space="preserve"> de prison et il </w:t>
      </w:r>
      <w:r w:rsidRPr="00AE590D">
        <w:rPr>
          <w:i/>
        </w:rPr>
        <w:t>fut libéré sous conditions</w:t>
      </w:r>
      <w:r>
        <w:t xml:space="preserve"> le 22 juillet 2003, après avoir purgé </w:t>
      </w:r>
      <w:r w:rsidRPr="00AE590D">
        <w:rPr>
          <w:i/>
        </w:rPr>
        <w:t xml:space="preserve">environ </w:t>
      </w:r>
      <w:r w:rsidR="00AE590D">
        <w:rPr>
          <w:i/>
        </w:rPr>
        <w:t>dix </w:t>
      </w:r>
      <w:r w:rsidRPr="00AE590D">
        <w:rPr>
          <w:i/>
        </w:rPr>
        <w:t xml:space="preserve">mois et demi </w:t>
      </w:r>
      <w:r>
        <w:t>de sa peine. Une loi sur le service de remplacement fut finalement adoptée le 17 décembre 2003 ; elle entra en vigueur le 1</w:t>
      </w:r>
      <w:r>
        <w:rPr>
          <w:vertAlign w:val="superscript"/>
        </w:rPr>
        <w:t>er</w:t>
      </w:r>
      <w:r w:rsidR="0040620C">
        <w:t> </w:t>
      </w:r>
      <w:r>
        <w:t>juillet</w:t>
      </w:r>
      <w:r w:rsidR="0040620C">
        <w:t> </w:t>
      </w:r>
      <w:r>
        <w:t>2004.</w:t>
      </w:r>
    </w:p>
    <w:p w:rsidR="00E40C8E" w:rsidP="005618BF" w:rsidRDefault="00E40C8E">
      <w:pPr>
        <w:pStyle w:val="OpiPara"/>
      </w:pPr>
      <w:r>
        <w:t>2.  Pour exprimer mon opinion, je n</w:t>
      </w:r>
      <w:r w:rsidR="002257E9">
        <w:t>’</w:t>
      </w:r>
      <w:r>
        <w:t>ai pas besoin de souligner l</w:t>
      </w:r>
      <w:r w:rsidR="002257E9">
        <w:t>’</w:t>
      </w:r>
      <w:r>
        <w:t>importance que j</w:t>
      </w:r>
      <w:r w:rsidR="002257E9">
        <w:t>’</w:t>
      </w:r>
      <w:r>
        <w:t>attache à la liberté de pensée, de conscience et de religion et au droit à l</w:t>
      </w:r>
      <w:r w:rsidR="002257E9">
        <w:t>’</w:t>
      </w:r>
      <w:r>
        <w:t>objection de conscience, mais il est un fait que ce dernier n</w:t>
      </w:r>
      <w:r w:rsidR="002257E9">
        <w:t>’</w:t>
      </w:r>
      <w:r>
        <w:t>est pas explicitement consacré par la Convention.</w:t>
      </w:r>
    </w:p>
    <w:p w:rsidR="00E40C8E" w:rsidP="005618BF" w:rsidRDefault="00E40C8E">
      <w:pPr>
        <w:pStyle w:val="OpiPara"/>
      </w:pPr>
      <w:r>
        <w:t>La Convention et ses Protocoles ne garantissent pas un droit à l</w:t>
      </w:r>
      <w:r w:rsidR="002257E9">
        <w:t>’</w:t>
      </w:r>
      <w:r>
        <w:t>objection de conscience</w:t>
      </w:r>
      <w:r w:rsidRPr="00D26569">
        <w:t xml:space="preserve"> </w:t>
      </w:r>
      <w:r>
        <w:t>en tant que tel. L</w:t>
      </w:r>
      <w:r w:rsidR="002257E9">
        <w:t>’</w:t>
      </w:r>
      <w:r>
        <w:t>article 9 de la Convention ne confère pas aux objecteurs de conscience un droit à être exemptés du service militaire ou du service civil de remplacement. Il n</w:t>
      </w:r>
      <w:r w:rsidR="002257E9">
        <w:t>’</w:t>
      </w:r>
      <w:r>
        <w:t>empêche pas davantage un Etat d</w:t>
      </w:r>
      <w:r w:rsidR="002257E9">
        <w:t>’</w:t>
      </w:r>
      <w:r>
        <w:t>imposer des sanctions à ceux qui refusent d</w:t>
      </w:r>
      <w:r w:rsidR="002257E9">
        <w:t>’</w:t>
      </w:r>
      <w:r>
        <w:t>accomplir pareil service.</w:t>
      </w:r>
    </w:p>
    <w:p w:rsidR="00E40C8E" w:rsidP="005618BF" w:rsidRDefault="00E40C8E">
      <w:pPr>
        <w:pStyle w:val="OpiPara"/>
      </w:pPr>
      <w:r>
        <w:t>La Cour a rappelé à plusieurs reprises que l</w:t>
      </w:r>
      <w:r w:rsidR="002257E9">
        <w:t>’</w:t>
      </w:r>
      <w:r>
        <w:t>article 9 ne protège pas n</w:t>
      </w:r>
      <w:r w:rsidR="002257E9">
        <w:t>’</w:t>
      </w:r>
      <w:r>
        <w:t>importe quel acte motivé ou inspiré par une religion ou une conviction (voir, parmi beaucoup d</w:t>
      </w:r>
      <w:r w:rsidR="002257E9">
        <w:t>’</w:t>
      </w:r>
      <w:r>
        <w:t xml:space="preserve">autres, </w:t>
      </w:r>
      <w:r>
        <w:rPr>
          <w:i/>
        </w:rPr>
        <w:t>Kalaç c. Turquie</w:t>
      </w:r>
      <w:r>
        <w:t>, 1</w:t>
      </w:r>
      <w:r>
        <w:rPr>
          <w:vertAlign w:val="superscript"/>
        </w:rPr>
        <w:t>er</w:t>
      </w:r>
      <w:r>
        <w:t xml:space="preserve"> juillet 1997, § 27, </w:t>
      </w:r>
      <w:r>
        <w:rPr>
          <w:i/>
        </w:rPr>
        <w:t>Recueil des arrêts et décisions</w:t>
      </w:r>
      <w:r w:rsidR="0051225B">
        <w:t xml:space="preserve"> 1997</w:t>
      </w:r>
      <w:r w:rsidR="0051225B">
        <w:noBreakHyphen/>
        <w:t>IV,</w:t>
      </w:r>
      <w:r>
        <w:t xml:space="preserve"> </w:t>
      </w:r>
      <w:r>
        <w:rPr>
          <w:i/>
        </w:rPr>
        <w:t>Arrowsmith c. Royaume-Uni</w:t>
      </w:r>
      <w:r>
        <w:t>, n</w:t>
      </w:r>
      <w:r>
        <w:rPr>
          <w:vertAlign w:val="superscript"/>
        </w:rPr>
        <w:t>o</w:t>
      </w:r>
      <w:r w:rsidR="00664B80">
        <w:t> </w:t>
      </w:r>
      <w:r>
        <w:t>7050/75, rapport de la Commission du 12 octobre 1978, Décisions et rapport</w:t>
      </w:r>
      <w:r w:rsidR="0051225B">
        <w:t>s</w:t>
      </w:r>
      <w:r w:rsidR="00C27424">
        <w:t xml:space="preserve"> (DR) 19, p. </w:t>
      </w:r>
      <w:r w:rsidR="00226498">
        <w:t>3</w:t>
      </w:r>
      <w:r w:rsidR="0051225B">
        <w:t>5,</w:t>
      </w:r>
      <w:r>
        <w:t xml:space="preserve"> </w:t>
      </w:r>
      <w:r>
        <w:rPr>
          <w:i/>
        </w:rPr>
        <w:t>C. c. Royaume-Uni</w:t>
      </w:r>
      <w:r>
        <w:t>, n</w:t>
      </w:r>
      <w:r>
        <w:rPr>
          <w:vertAlign w:val="superscript"/>
        </w:rPr>
        <w:t>o</w:t>
      </w:r>
      <w:r>
        <w:t xml:space="preserve"> 10358/83, décision de la Commission du 1</w:t>
      </w:r>
      <w:r w:rsidR="00C27424">
        <w:t xml:space="preserve">5 décembre 1983, DR </w:t>
      </w:r>
      <w:r w:rsidR="0051225B">
        <w:t>37, p. 142,</w:t>
      </w:r>
      <w:r>
        <w:t xml:space="preserve"> </w:t>
      </w:r>
      <w:r w:rsidR="00664B80">
        <w:rPr>
          <w:i/>
        </w:rPr>
        <w:t>Tepeli et autres c. </w:t>
      </w:r>
      <w:r>
        <w:rPr>
          <w:i/>
        </w:rPr>
        <w:t>Turquie</w:t>
      </w:r>
      <w:r>
        <w:t xml:space="preserve"> (déc.), n</w:t>
      </w:r>
      <w:r>
        <w:rPr>
          <w:vertAlign w:val="superscript"/>
        </w:rPr>
        <w:t>o</w:t>
      </w:r>
      <w:r w:rsidR="0051225B">
        <w:t xml:space="preserve"> 31876/96, 11 septembre 2001,</w:t>
      </w:r>
      <w:r w:rsidR="00C27424">
        <w:t xml:space="preserve"> </w:t>
      </w:r>
      <w:r>
        <w:t xml:space="preserve">et </w:t>
      </w:r>
      <w:r w:rsidR="0040620C">
        <w:rPr>
          <w:i/>
        </w:rPr>
        <w:t>Leyla Şahin c. </w:t>
      </w:r>
      <w:r>
        <w:rPr>
          <w:i/>
        </w:rPr>
        <w:t xml:space="preserve">Turquie </w:t>
      </w:r>
      <w:r>
        <w:t>[GC], n</w:t>
      </w:r>
      <w:r>
        <w:rPr>
          <w:vertAlign w:val="superscript"/>
        </w:rPr>
        <w:t>o</w:t>
      </w:r>
      <w:r>
        <w:t xml:space="preserve"> 44774/98, § 105, CEDH 2005</w:t>
      </w:r>
      <w:r>
        <w:noBreakHyphen/>
        <w:t>XI).</w:t>
      </w:r>
    </w:p>
    <w:p w:rsidR="00E40C8E" w:rsidP="005618BF" w:rsidRDefault="00E40C8E">
      <w:pPr>
        <w:pStyle w:val="OpiPara"/>
      </w:pPr>
      <w:r>
        <w:t>Dans ses Recommandations 1518(2001) et 1742(2006), l</w:t>
      </w:r>
      <w:r w:rsidR="002257E9">
        <w:t>’</w:t>
      </w:r>
      <w:r>
        <w:t>Assemblée parlementaire du Conseil de l</w:t>
      </w:r>
      <w:r w:rsidR="002257E9">
        <w:t>’</w:t>
      </w:r>
      <w:r>
        <w:t xml:space="preserve">Europe a recommandé au Comité des Ministres </w:t>
      </w:r>
      <w:r w:rsidRPr="00AE590D">
        <w:rPr>
          <w:i/>
        </w:rPr>
        <w:t>d</w:t>
      </w:r>
      <w:r w:rsidR="002257E9">
        <w:rPr>
          <w:i/>
        </w:rPr>
        <w:t>’</w:t>
      </w:r>
      <w:r w:rsidRPr="00AE590D">
        <w:rPr>
          <w:i/>
        </w:rPr>
        <w:t>incorporer le droit à l</w:t>
      </w:r>
      <w:r w:rsidR="002257E9">
        <w:rPr>
          <w:i/>
        </w:rPr>
        <w:t>’</w:t>
      </w:r>
      <w:r w:rsidRPr="00AE590D">
        <w:rPr>
          <w:i/>
        </w:rPr>
        <w:t>objection de conscience dans la Convention au travers d</w:t>
      </w:r>
      <w:r w:rsidR="002257E9">
        <w:rPr>
          <w:i/>
        </w:rPr>
        <w:t>’</w:t>
      </w:r>
      <w:r w:rsidRPr="00AE590D">
        <w:rPr>
          <w:i/>
        </w:rPr>
        <w:t>un Protocole additionnel</w:t>
      </w:r>
      <w:r>
        <w:t>, mais cette proposition n</w:t>
      </w:r>
      <w:r w:rsidR="002257E9">
        <w:t>’</w:t>
      </w:r>
      <w:r>
        <w:t>a pas été acceptée par le Comité des Ministres. Comme l</w:t>
      </w:r>
      <w:r w:rsidR="002257E9">
        <w:t>’</w:t>
      </w:r>
      <w:r>
        <w:t>Assemblée parlementaire, le Parlement européen a considéré que le droit à l</w:t>
      </w:r>
      <w:r w:rsidR="002257E9">
        <w:t>’</w:t>
      </w:r>
      <w:r>
        <w:t xml:space="preserve">objection de conscience était inhérent à la notion de liberté de pensée, de conscience et de religion, et il a lui aussi appelé </w:t>
      </w:r>
      <w:r w:rsidRPr="00616424">
        <w:t>à</w:t>
      </w:r>
      <w:r>
        <w:rPr>
          <w:b/>
        </w:rPr>
        <w:t xml:space="preserve"> </w:t>
      </w:r>
      <w:r w:rsidRPr="00AE590D">
        <w:rPr>
          <w:i/>
        </w:rPr>
        <w:t>l</w:t>
      </w:r>
      <w:r w:rsidR="002257E9">
        <w:rPr>
          <w:i/>
        </w:rPr>
        <w:t>’</w:t>
      </w:r>
      <w:r w:rsidRPr="00AE590D">
        <w:rPr>
          <w:i/>
        </w:rPr>
        <w:t>incorporation</w:t>
      </w:r>
      <w:r>
        <w:t xml:space="preserve"> de ce droit dans la Convention.</w:t>
      </w:r>
    </w:p>
    <w:p w:rsidR="00E40C8E" w:rsidP="005618BF" w:rsidRDefault="00E40C8E">
      <w:pPr>
        <w:pStyle w:val="OpiPara"/>
      </w:pPr>
      <w:r>
        <w:t>Je pense que le rôle de notre Cour est de protéger les droits de l</w:t>
      </w:r>
      <w:r w:rsidR="002257E9">
        <w:t>’</w:t>
      </w:r>
      <w:r>
        <w:t>homme déjà consacrés par la Convention et non d</w:t>
      </w:r>
      <w:r w:rsidR="002257E9">
        <w:t>’</w:t>
      </w:r>
      <w:r>
        <w:t>en créer de nouveaux. On peut soutenir que l</w:t>
      </w:r>
      <w:r w:rsidR="002257E9">
        <w:t>’</w:t>
      </w:r>
      <w:r>
        <w:t>approche évolutive de la Convention permet à la Cour d</w:t>
      </w:r>
      <w:r w:rsidR="002257E9">
        <w:t>’</w:t>
      </w:r>
      <w:r>
        <w:t>élargir le champ des droits protégés. J</w:t>
      </w:r>
      <w:r w:rsidR="002257E9">
        <w:t>’</w:t>
      </w:r>
      <w:r>
        <w:t>estime toutefois que la Cour n</w:t>
      </w:r>
      <w:r w:rsidR="002257E9">
        <w:t>’</w:t>
      </w:r>
      <w:r w:rsidR="00F94336">
        <w:t>a pas la légitimité pour</w:t>
      </w:r>
      <w:r>
        <w:t xml:space="preserve"> agir de la sorte lorsque la Convention elle-même laisse la reconnaissance de droits particuliers à l</w:t>
      </w:r>
      <w:r w:rsidR="002257E9">
        <w:t>’</w:t>
      </w:r>
      <w:r>
        <w:t>appréciation discrétionnaire des Parties contractantes.</w:t>
      </w:r>
    </w:p>
    <w:p w:rsidR="00E40C8E" w:rsidP="005618BF" w:rsidRDefault="00E40C8E">
      <w:pPr>
        <w:pStyle w:val="OpiPara"/>
      </w:pPr>
      <w:r>
        <w:t>L</w:t>
      </w:r>
      <w:r w:rsidR="002257E9">
        <w:t>’</w:t>
      </w:r>
      <w:r>
        <w:t>article 4 § 3 b) « laiss[ait] clairement aux Parties contractantes le choix de reconnaître ou non le droit à l</w:t>
      </w:r>
      <w:r w:rsidR="002257E9">
        <w:t>’</w:t>
      </w:r>
      <w:r>
        <w:t>objection de conscience » (</w:t>
      </w:r>
      <w:r w:rsidR="0040620C">
        <w:rPr>
          <w:i/>
        </w:rPr>
        <w:t>Bayatyan c. </w:t>
      </w:r>
      <w:r>
        <w:rPr>
          <w:i/>
        </w:rPr>
        <w:t>Arménie</w:t>
      </w:r>
      <w:r>
        <w:t>, n</w:t>
      </w:r>
      <w:r w:rsidRPr="00F94336">
        <w:rPr>
          <w:vertAlign w:val="superscript"/>
        </w:rPr>
        <w:t>o</w:t>
      </w:r>
      <w:r>
        <w:t xml:space="preserve"> 23459/03, § 63, 27 octobre 2009). Cette disposition exclut de la définition du travail forcé « tout service de caractère militaire ou, dans le cas d</w:t>
      </w:r>
      <w:r w:rsidR="002257E9">
        <w:t>’</w:t>
      </w:r>
      <w:r>
        <w:t>objecteurs de conscience dans les pays où l</w:t>
      </w:r>
      <w:r w:rsidR="002257E9">
        <w:t>’</w:t>
      </w:r>
      <w:r>
        <w:t>objection de conscience est reconnue comme légitime, un autre service à la place du service militaire obligatoire. »</w:t>
      </w:r>
    </w:p>
    <w:p w:rsidR="00E40C8E" w:rsidP="005618BF" w:rsidRDefault="00E40C8E">
      <w:pPr>
        <w:pStyle w:val="OpiPara"/>
      </w:pPr>
      <w:r>
        <w:t>3.  Je suis en total désaccord avec la conclusion de la majorité selon laquelle l</w:t>
      </w:r>
      <w:r w:rsidR="002257E9">
        <w:t>’</w:t>
      </w:r>
      <w:r>
        <w:t>article 9 ne doit plus être lu en combinaison avec l</w:t>
      </w:r>
      <w:r w:rsidR="002257E9">
        <w:t>’</w:t>
      </w:r>
      <w:r>
        <w:t>article 4 § 3 b). La lecture que l</w:t>
      </w:r>
      <w:r w:rsidR="002257E9">
        <w:t>’</w:t>
      </w:r>
      <w:r>
        <w:t>arrêt en propose va à l</w:t>
      </w:r>
      <w:r w:rsidR="002257E9">
        <w:t>’</w:t>
      </w:r>
      <w:r>
        <w:t>encontre de l</w:t>
      </w:r>
      <w:r w:rsidR="002257E9">
        <w:t>’</w:t>
      </w:r>
      <w:r>
        <w:t>approche traditionnelle de la Cour suivant laquelle la Convention doit également se lire comme un tout et s</w:t>
      </w:r>
      <w:r w:rsidR="002257E9">
        <w:t>’</w:t>
      </w:r>
      <w:r>
        <w:t>interpréter de manière à promouvoir sa cohérence interne et l</w:t>
      </w:r>
      <w:r w:rsidR="002257E9">
        <w:t>’</w:t>
      </w:r>
      <w:r>
        <w:t xml:space="preserve">harmonie entre ses diverses dispositions </w:t>
      </w:r>
      <w:r w:rsidR="00E74AD9">
        <w:t>(</w:t>
      </w:r>
      <w:r w:rsidR="00664B80">
        <w:rPr>
          <w:i/>
        </w:rPr>
        <w:t>Klass et autres c. </w:t>
      </w:r>
      <w:r>
        <w:rPr>
          <w:i/>
        </w:rPr>
        <w:t>Allemagne</w:t>
      </w:r>
      <w:r w:rsidR="00C27424">
        <w:t xml:space="preserve">, 6 </w:t>
      </w:r>
      <w:r>
        <w:t>septembre 1978, § 68, série A n</w:t>
      </w:r>
      <w:r>
        <w:rPr>
          <w:vertAlign w:val="superscript"/>
        </w:rPr>
        <w:t>o</w:t>
      </w:r>
      <w:r w:rsidR="00255A78">
        <w:t xml:space="preserve"> 28,</w:t>
      </w:r>
      <w:r>
        <w:t xml:space="preserve"> et également </w:t>
      </w:r>
      <w:r w:rsidR="0040620C">
        <w:rPr>
          <w:i/>
        </w:rPr>
        <w:t>Maaouia c. </w:t>
      </w:r>
      <w:r>
        <w:rPr>
          <w:i/>
        </w:rPr>
        <w:t>France</w:t>
      </w:r>
      <w:r>
        <w:t xml:space="preserve"> [GC], n</w:t>
      </w:r>
      <w:r>
        <w:rPr>
          <w:vertAlign w:val="superscript"/>
        </w:rPr>
        <w:t>o</w:t>
      </w:r>
      <w:r w:rsidR="00255A78">
        <w:t xml:space="preserve"> 39652/98, § 36, CEDH 2000</w:t>
      </w:r>
      <w:r w:rsidR="00255A78">
        <w:noBreakHyphen/>
        <w:t>X,</w:t>
      </w:r>
      <w:r>
        <w:t xml:space="preserve"> </w:t>
      </w:r>
      <w:r>
        <w:rPr>
          <w:i/>
        </w:rPr>
        <w:t xml:space="preserve">Kudła c. Pologne </w:t>
      </w:r>
      <w:r>
        <w:t>[GC], n</w:t>
      </w:r>
      <w:r>
        <w:rPr>
          <w:vertAlign w:val="superscript"/>
        </w:rPr>
        <w:t>o</w:t>
      </w:r>
      <w:r w:rsidR="00255A78">
        <w:t xml:space="preserve"> 30210/96, § 152, CEDH 2000</w:t>
      </w:r>
      <w:r w:rsidR="00255A78">
        <w:noBreakHyphen/>
        <w:t>XI,</w:t>
      </w:r>
      <w:r>
        <w:t xml:space="preserve"> et </w:t>
      </w:r>
      <w:r>
        <w:rPr>
          <w:i/>
        </w:rPr>
        <w:t>Stec et autres c. Royaume-Uni</w:t>
      </w:r>
      <w:r>
        <w:t xml:space="preserve"> (déc.) [GC], n</w:t>
      </w:r>
      <w:r>
        <w:rPr>
          <w:rFonts w:ascii="Times New (W1)" w:hAnsi="Times New (W1)"/>
          <w:szCs w:val="24"/>
          <w:vertAlign w:val="superscript"/>
        </w:rPr>
        <w:t>os</w:t>
      </w:r>
      <w:r>
        <w:t xml:space="preserve"> 65731/01 et 65900/01, § 48, CEDH 2005</w:t>
      </w:r>
      <w:r>
        <w:noBreakHyphen/>
        <w:t>X).</w:t>
      </w:r>
    </w:p>
    <w:p w:rsidR="00E40C8E" w:rsidP="005618BF" w:rsidRDefault="00E40C8E">
      <w:pPr>
        <w:pStyle w:val="OpiPara"/>
      </w:pPr>
      <w:r>
        <w:t>4.  Ce n</w:t>
      </w:r>
      <w:r w:rsidR="002257E9">
        <w:t>’</w:t>
      </w:r>
      <w:r>
        <w:t>est que dans ses Recommandations les plus récentes (2010) que le Comité des Ministres du Conseil de l</w:t>
      </w:r>
      <w:r w:rsidR="002257E9">
        <w:t>’</w:t>
      </w:r>
      <w:r>
        <w:t>Europe a considéré, à la lumière des développements intervenus au plan international, que le droit à l</w:t>
      </w:r>
      <w:r w:rsidR="002257E9">
        <w:t>’</w:t>
      </w:r>
      <w:r>
        <w:t>objection de conscience faisait partie intégrante de la liberté de pensée, de conscience et de religion consacrée par l</w:t>
      </w:r>
      <w:r w:rsidR="002257E9">
        <w:t>’</w:t>
      </w:r>
      <w:r>
        <w:t>article 9 de la Convention.</w:t>
      </w:r>
    </w:p>
    <w:p w:rsidR="00C27424" w:rsidP="005618BF" w:rsidRDefault="00E40C8E">
      <w:pPr>
        <w:pStyle w:val="OpiPara"/>
      </w:pPr>
      <w:r>
        <w:t>La Charte des droits fondamentaux de l</w:t>
      </w:r>
      <w:r w:rsidR="002257E9">
        <w:t>’</w:t>
      </w:r>
      <w:r>
        <w:t>Union Européenne, adoptée en décembre 2000 et qui reconnaît le droit à l</w:t>
      </w:r>
      <w:r w:rsidR="002257E9">
        <w:t>’</w:t>
      </w:r>
      <w:r>
        <w:t>objection de conscience au titre du droit à la liberté de pensée, de conscience et de religion, est entrée en vigueur en décembre 2009.</w:t>
      </w:r>
    </w:p>
    <w:p w:rsidR="00E40C8E" w:rsidP="005618BF" w:rsidRDefault="00E40C8E">
      <w:pPr>
        <w:pStyle w:val="OpiPara"/>
      </w:pPr>
      <w:r>
        <w:t>Ce n</w:t>
      </w:r>
      <w:r w:rsidR="002257E9">
        <w:t>’</w:t>
      </w:r>
      <w:r>
        <w:t>est qu</w:t>
      </w:r>
      <w:r w:rsidR="002257E9">
        <w:t>’</w:t>
      </w:r>
      <w:r>
        <w:t>en 2006 que le Comité des droits de l</w:t>
      </w:r>
      <w:r w:rsidR="002257E9">
        <w:t>’</w:t>
      </w:r>
      <w:r>
        <w:t>homme des Nations unies a refusé explicitement d</w:t>
      </w:r>
      <w:r w:rsidR="002257E9">
        <w:t>’</w:t>
      </w:r>
      <w:r>
        <w:t>appliquer l</w:t>
      </w:r>
      <w:r w:rsidR="002257E9">
        <w:t>’</w:t>
      </w:r>
      <w:r>
        <w:t>article 8 du Pacte international relatif aux droits civils et politiques (PIDCP) dans deux affaires dirigées contre la Corée du Sud qui concernaient des objecteurs de conscience, examinant leurs griefs sous l</w:t>
      </w:r>
      <w:r w:rsidR="002257E9">
        <w:t>’</w:t>
      </w:r>
      <w:r>
        <w:t>angle du seul article 18 du PIDCP et concluant à la violation de cette disposition à raison de la condamnation des requérants pour avoir refusé de servir dans l</w:t>
      </w:r>
      <w:r w:rsidR="002257E9">
        <w:t>’</w:t>
      </w:r>
      <w:r>
        <w:t>armée pour motifs de conscience.</w:t>
      </w:r>
    </w:p>
    <w:p w:rsidR="00E40C8E" w:rsidP="005618BF" w:rsidRDefault="00E40C8E">
      <w:pPr>
        <w:pStyle w:val="OpiPara"/>
      </w:pPr>
      <w:r>
        <w:t>Je tiens à souligner également qu</w:t>
      </w:r>
      <w:r w:rsidR="002257E9">
        <w:t>’</w:t>
      </w:r>
      <w:r>
        <w:t>à l</w:t>
      </w:r>
      <w:r w:rsidR="002257E9">
        <w:t>’</w:t>
      </w:r>
      <w:r>
        <w:t>époque où le requérant a été condamné pour avoir refusé de serv</w:t>
      </w:r>
      <w:r w:rsidR="00803598">
        <w:t>ir dans les forces armées à cau</w:t>
      </w:r>
      <w:r>
        <w:t>se de ses convictions religieuses, il existait une jurisprudence explicite en vertu de laquelle la Convention et ses Protocoles ne garantissaient pas un droit à l</w:t>
      </w:r>
      <w:r w:rsidR="002257E9">
        <w:t>’</w:t>
      </w:r>
      <w:r>
        <w:t>objection de conscience</w:t>
      </w:r>
      <w:r w:rsidRPr="0082463D">
        <w:t xml:space="preserve"> </w:t>
      </w:r>
      <w:r>
        <w:t>en tant que tel. Les autorités nationales ne sauraient se voir reprocher ni d</w:t>
      </w:r>
      <w:r w:rsidR="002257E9">
        <w:t>’</w:t>
      </w:r>
      <w:r>
        <w:t>avoir suivi la jurisprudence qui existait à l</w:t>
      </w:r>
      <w:r w:rsidR="002257E9">
        <w:t>’</w:t>
      </w:r>
      <w:r>
        <w:t>époque ni de ne pas avoir mis en œuvre une approche reflétant des développements intervenus seulement par la suite.</w:t>
      </w:r>
    </w:p>
    <w:p w:rsidR="00E40C8E" w:rsidP="005618BF" w:rsidRDefault="00E40C8E">
      <w:pPr>
        <w:pStyle w:val="OpiPara"/>
      </w:pPr>
      <w:r>
        <w:t>5.  Quant à l</w:t>
      </w:r>
      <w:r w:rsidR="002257E9">
        <w:t>’</w:t>
      </w:r>
      <w:r>
        <w:t>engagement de mettre en place un service de remplacement pour les objecteurs de conscience pris par l</w:t>
      </w:r>
      <w:r w:rsidR="002257E9">
        <w:t>’</w:t>
      </w:r>
      <w:r>
        <w:t>Arménie en 2000, au moment de rejoindre le Conseil de l</w:t>
      </w:r>
      <w:r w:rsidR="002257E9">
        <w:t>’</w:t>
      </w:r>
      <w:r>
        <w:t>Europe, on ne saurait considérer qu</w:t>
      </w:r>
      <w:r w:rsidR="002257E9">
        <w:t>’</w:t>
      </w:r>
      <w:r>
        <w:t>il avait force contraignante à l</w:t>
      </w:r>
      <w:r w:rsidR="002257E9">
        <w:t>’</w:t>
      </w:r>
      <w:r>
        <w:t>époque. L</w:t>
      </w:r>
      <w:r w:rsidR="002257E9">
        <w:t>’</w:t>
      </w:r>
      <w:r>
        <w:t>Arménie s</w:t>
      </w:r>
      <w:r w:rsidR="002257E9">
        <w:t>’</w:t>
      </w:r>
      <w:r>
        <w:t>était engagée à reconnaître le droit en question et à gracier l</w:t>
      </w:r>
      <w:r w:rsidR="002257E9">
        <w:t>’</w:t>
      </w:r>
      <w:r>
        <w:t>ensemble des objecteurs de conscience condamnés, non pas immédiatement, mais dans les trois ans de son adhésion au Conseil de l</w:t>
      </w:r>
      <w:r w:rsidR="002257E9">
        <w:t>’</w:t>
      </w:r>
      <w:r>
        <w:t>Europe. L</w:t>
      </w:r>
      <w:r w:rsidR="002257E9">
        <w:t>’</w:t>
      </w:r>
      <w:r>
        <w:t>Arménie a rempli ses engagements dans les trois ans de son adhésion, comme elle l</w:t>
      </w:r>
      <w:r w:rsidR="002257E9">
        <w:t>’</w:t>
      </w:r>
      <w:r>
        <w:t>avait promis. Au cours de la période en question, en effet, la loi sur le service de rem</w:t>
      </w:r>
      <w:r w:rsidR="00803598">
        <w:t>placement a été adoptée, trente–</w:t>
      </w:r>
      <w:r>
        <w:t>huit objecteurs de conscience ont été graciés, et le requérant lui-même a bénéficié d</w:t>
      </w:r>
      <w:r w:rsidR="002257E9">
        <w:t>’</w:t>
      </w:r>
      <w:r>
        <w:t>une libération conditionnelle. Il est clair, par conséquent, que le présent arrêt n</w:t>
      </w:r>
      <w:r w:rsidR="002257E9">
        <w:t>’</w:t>
      </w:r>
      <w:r>
        <w:t>était pas nécessaire pour assurer le respect par l</w:t>
      </w:r>
      <w:r w:rsidR="002257E9">
        <w:t>’</w:t>
      </w:r>
      <w:r>
        <w:t>Arménie de ses engagements.</w:t>
      </w:r>
    </w:p>
    <w:p w:rsidR="00C27424" w:rsidP="005618BF" w:rsidRDefault="00E40C8E">
      <w:pPr>
        <w:pStyle w:val="OpiPara"/>
      </w:pPr>
      <w:r>
        <w:t>6.  Si l</w:t>
      </w:r>
      <w:r w:rsidR="002257E9">
        <w:t>’</w:t>
      </w:r>
      <w:r>
        <w:t>article 9 n</w:t>
      </w:r>
      <w:r w:rsidR="002257E9">
        <w:t>’</w:t>
      </w:r>
      <w:r>
        <w:t>est pas applicable, il ne peut à l</w:t>
      </w:r>
      <w:r w:rsidR="002257E9">
        <w:t>’</w:t>
      </w:r>
      <w:r>
        <w:t>évidence avoir été violé. C</w:t>
      </w:r>
      <w:r w:rsidR="002257E9">
        <w:t>’</w:t>
      </w:r>
      <w:r>
        <w:t>est la raison pour laquelle j</w:t>
      </w:r>
      <w:r w:rsidR="002257E9">
        <w:t>’</w:t>
      </w:r>
      <w:r>
        <w:t>ai voté contre le constat d</w:t>
      </w:r>
      <w:r w:rsidR="002257E9">
        <w:t>’</w:t>
      </w:r>
      <w:r>
        <w:t>une violation. Je doute fort que le constat d</w:t>
      </w:r>
      <w:r w:rsidR="002257E9">
        <w:t>’</w:t>
      </w:r>
      <w:r>
        <w:t>une violation de l</w:t>
      </w:r>
      <w:r w:rsidR="002257E9">
        <w:t>’</w:t>
      </w:r>
      <w:r>
        <w:t>article 9 de la Convention ait rendu justice au requérant</w:t>
      </w:r>
      <w:r w:rsidRPr="0082463D">
        <w:t xml:space="preserve"> </w:t>
      </w:r>
      <w:r>
        <w:t>individuellement. On peut se demander en effet s</w:t>
      </w:r>
      <w:r w:rsidR="002257E9">
        <w:t>’</w:t>
      </w:r>
      <w:r>
        <w:t>il est possible de considérer que l</w:t>
      </w:r>
      <w:r w:rsidR="002257E9">
        <w:t>’</w:t>
      </w:r>
      <w:r>
        <w:t>intéressé était une victime à l</w:t>
      </w:r>
      <w:r w:rsidR="002257E9">
        <w:t>’</w:t>
      </w:r>
      <w:r>
        <w:t>époque où il s</w:t>
      </w:r>
      <w:r w:rsidR="002257E9">
        <w:t>’</w:t>
      </w:r>
      <w:r>
        <w:t>est adressé à la Cour. S</w:t>
      </w:r>
      <w:r w:rsidR="002257E9">
        <w:t>’</w:t>
      </w:r>
      <w:r>
        <w:t>il a</w:t>
      </w:r>
      <w:r w:rsidR="00803598">
        <w:t>,</w:t>
      </w:r>
      <w:r>
        <w:t xml:space="preserve"> certes</w:t>
      </w:r>
      <w:r w:rsidR="00803598">
        <w:t>,</w:t>
      </w:r>
      <w:r>
        <w:t xml:space="preserve"> été privé de sa liberté, il ne s</w:t>
      </w:r>
      <w:r w:rsidR="002257E9">
        <w:t>’</w:t>
      </w:r>
      <w:r>
        <w:t>est jamais plaint de cette privation de liberté en tant que telle, faisant porter ses griefs sur l</w:t>
      </w:r>
      <w:r w:rsidR="002257E9">
        <w:t>’</w:t>
      </w:r>
      <w:r>
        <w:t>absence de toute possibilité pour les objecteurs de conscience d</w:t>
      </w:r>
      <w:r w:rsidR="002257E9">
        <w:t>’</w:t>
      </w:r>
      <w:r>
        <w:t>effectuer un service de remplacement. Le jour même de l</w:t>
      </w:r>
      <w:r w:rsidR="002257E9">
        <w:t>’</w:t>
      </w:r>
      <w:r>
        <w:t>introduction de sa requête, le requérant bénéficia d</w:t>
      </w:r>
      <w:r w:rsidR="002257E9">
        <w:t>’</w:t>
      </w:r>
      <w:r>
        <w:t>une libération conditionnelle, et six mois plus tard la loi sur le service de remplacement était adoptée.</w:t>
      </w:r>
    </w:p>
    <w:p w:rsidR="00E40C8E" w:rsidP="005618BF" w:rsidRDefault="00E40C8E">
      <w:pPr>
        <w:pStyle w:val="OpiPara"/>
        <w:rPr>
          <w:szCs w:val="24"/>
        </w:rPr>
      </w:pPr>
      <w:r>
        <w:t>Dans plusieurs affaires (</w:t>
      </w:r>
      <w:r>
        <w:rPr>
          <w:i/>
          <w:szCs w:val="24"/>
        </w:rPr>
        <w:t xml:space="preserve">Syssoyeva et autres c. Lettonie </w:t>
      </w:r>
      <w:r w:rsidRPr="00803598" w:rsidR="00803598">
        <w:rPr>
          <w:szCs w:val="24"/>
        </w:rPr>
        <w:t>(radiation)</w:t>
      </w:r>
      <w:r w:rsidR="00803598">
        <w:rPr>
          <w:szCs w:val="24"/>
        </w:rPr>
        <w:t xml:space="preserve"> </w:t>
      </w:r>
      <w:r w:rsidRPr="00803598">
        <w:rPr>
          <w:szCs w:val="24"/>
        </w:rPr>
        <w:t>[</w:t>
      </w:r>
      <w:r>
        <w:rPr>
          <w:szCs w:val="24"/>
        </w:rPr>
        <w:t>GC],</w:t>
      </w:r>
      <w:r>
        <w:rPr>
          <w:i/>
          <w:szCs w:val="24"/>
        </w:rPr>
        <w:t xml:space="preserve"> </w:t>
      </w:r>
      <w:r>
        <w:rPr>
          <w:szCs w:val="24"/>
        </w:rPr>
        <w:t>n</w:t>
      </w:r>
      <w:r>
        <w:rPr>
          <w:szCs w:val="24"/>
          <w:vertAlign w:val="superscript"/>
        </w:rPr>
        <w:t>o</w:t>
      </w:r>
      <w:r w:rsidR="00803598">
        <w:rPr>
          <w:szCs w:val="24"/>
        </w:rPr>
        <w:t xml:space="preserve"> 60654/00, CEDH 2007-I</w:t>
      </w:r>
      <w:r w:rsidR="00255A78">
        <w:rPr>
          <w:szCs w:val="24"/>
        </w:rPr>
        <w:t>,</w:t>
      </w:r>
      <w:r>
        <w:rPr>
          <w:szCs w:val="24"/>
        </w:rPr>
        <w:t xml:space="preserve"> </w:t>
      </w:r>
      <w:r>
        <w:rPr>
          <w:i/>
        </w:rPr>
        <w:t>Chevanova c. Lettonie</w:t>
      </w:r>
      <w:r>
        <w:t xml:space="preserve"> (radiation) [GC], n</w:t>
      </w:r>
      <w:r>
        <w:rPr>
          <w:vertAlign w:val="superscript"/>
        </w:rPr>
        <w:t>o</w:t>
      </w:r>
      <w:r w:rsidR="00664B80">
        <w:t> </w:t>
      </w:r>
      <w:r w:rsidR="00255A78">
        <w:t>58822/00, 7 décembre 2007,</w:t>
      </w:r>
      <w:r>
        <w:t xml:space="preserve"> et </w:t>
      </w:r>
      <w:r>
        <w:rPr>
          <w:i/>
        </w:rPr>
        <w:t>El Majjao</w:t>
      </w:r>
      <w:r w:rsidR="00664B80">
        <w:rPr>
          <w:i/>
        </w:rPr>
        <w:t>ui et Stichting Touba Moskee c. </w:t>
      </w:r>
      <w:r>
        <w:rPr>
          <w:i/>
        </w:rPr>
        <w:t xml:space="preserve">Pays-Bas </w:t>
      </w:r>
      <w:r>
        <w:t>(radiation) [GC], n</w:t>
      </w:r>
      <w:r>
        <w:rPr>
          <w:vertAlign w:val="superscript"/>
        </w:rPr>
        <w:t>o</w:t>
      </w:r>
      <w:r>
        <w:t xml:space="preserve"> 25525/03, 20 décembre 2007), la Cour a estimé que la question à l</w:t>
      </w:r>
      <w:r w:rsidR="002257E9">
        <w:t>’</w:t>
      </w:r>
      <w:r>
        <w:t>origine des griefs des requérants pouvait désormais être considérée comme « résolue » au sens de l</w:t>
      </w:r>
      <w:r w:rsidR="002257E9">
        <w:t>’</w:t>
      </w:r>
      <w:r>
        <w:t>article 37 § 1 b) de la Convention et elle a rayé les requêtes du rôle. Dans les affaires en question, la Cour a considéré que « la Convention ne prescrit pas aux Etats contractants une manière déterminée d</w:t>
      </w:r>
      <w:r w:rsidR="002257E9">
        <w:t>’</w:t>
      </w:r>
      <w:r>
        <w:t>assurer dans leur droit interne l</w:t>
      </w:r>
      <w:r w:rsidR="002257E9">
        <w:t>’</w:t>
      </w:r>
      <w:r>
        <w:t>application effective de la Convention. Le choix des moyens les plus appropriés pour y parvenir incombe en principe aux autorités nationales, qui se trouvent en contact permanent avec les forces vives de leurs pays et sont mieux à même d</w:t>
      </w:r>
      <w:r w:rsidR="002257E9">
        <w:t>’</w:t>
      </w:r>
      <w:r>
        <w:t>évaluer les possibilités et les ressources qu</w:t>
      </w:r>
      <w:r w:rsidR="002257E9">
        <w:t>’</w:t>
      </w:r>
      <w:r>
        <w:t>offrent leurs ordres juridiques internes respectifs (</w:t>
      </w:r>
      <w:r>
        <w:rPr>
          <w:i/>
        </w:rPr>
        <w:t>Syndicat suédois des conducteurs de locomotives c. Suède</w:t>
      </w:r>
      <w:r>
        <w:t>, 6 février 1976, § 50, série A n</w:t>
      </w:r>
      <w:r>
        <w:rPr>
          <w:vertAlign w:val="superscript"/>
        </w:rPr>
        <w:t>o</w:t>
      </w:r>
      <w:r w:rsidR="00255A78">
        <w:t xml:space="preserve"> 20,</w:t>
      </w:r>
      <w:r>
        <w:t xml:space="preserve"> </w:t>
      </w:r>
      <w:r>
        <w:rPr>
          <w:i/>
        </w:rPr>
        <w:t>Chapman c.</w:t>
      </w:r>
      <w:r w:rsidR="00664B80">
        <w:rPr>
          <w:i/>
        </w:rPr>
        <w:t> </w:t>
      </w:r>
      <w:r>
        <w:rPr>
          <w:i/>
        </w:rPr>
        <w:t xml:space="preserve">Royaume-Uni </w:t>
      </w:r>
      <w:r>
        <w:t>[GC], n</w:t>
      </w:r>
      <w:r>
        <w:rPr>
          <w:vertAlign w:val="superscript"/>
        </w:rPr>
        <w:t>o</w:t>
      </w:r>
      <w:r w:rsidR="00255A78">
        <w:t xml:space="preserve"> 27238/95, § 91, CEDH 2001</w:t>
      </w:r>
      <w:r w:rsidR="00255A78">
        <w:noBreakHyphen/>
        <w:t>I,</w:t>
      </w:r>
      <w:r>
        <w:t xml:space="preserve"> et </w:t>
      </w:r>
      <w:r>
        <w:rPr>
          <w:i/>
          <w:szCs w:val="24"/>
        </w:rPr>
        <w:t>Syssoyeva et autres</w:t>
      </w:r>
      <w:r w:rsidR="00803598">
        <w:rPr>
          <w:szCs w:val="24"/>
        </w:rPr>
        <w:t>, précité, § 90). »</w:t>
      </w:r>
    </w:p>
    <w:p w:rsidR="00C27424" w:rsidP="005618BF" w:rsidRDefault="000B51F5">
      <w:pPr>
        <w:pStyle w:val="OpiPara"/>
        <w:rPr>
          <w:szCs w:val="24"/>
        </w:rPr>
      </w:pPr>
      <w:r>
        <w:rPr>
          <w:szCs w:val="24"/>
        </w:rPr>
        <w:t>7</w:t>
      </w:r>
      <w:r w:rsidR="00E40C8E">
        <w:rPr>
          <w:szCs w:val="24"/>
        </w:rPr>
        <w:t>.  Enfin, je me dissocie de la majorité de la Cour sur la question de la satisfaction équitable au titre de l</w:t>
      </w:r>
      <w:r w:rsidR="002257E9">
        <w:rPr>
          <w:szCs w:val="24"/>
        </w:rPr>
        <w:t>’</w:t>
      </w:r>
      <w:r w:rsidR="00E40C8E">
        <w:rPr>
          <w:szCs w:val="24"/>
        </w:rPr>
        <w:t>article 41 de la Convention. J</w:t>
      </w:r>
      <w:r w:rsidR="002257E9">
        <w:rPr>
          <w:szCs w:val="24"/>
        </w:rPr>
        <w:t>’</w:t>
      </w:r>
      <w:r w:rsidR="00E40C8E">
        <w:rPr>
          <w:szCs w:val="24"/>
        </w:rPr>
        <w:t>estime en effet que les sommes allouées au requérant pour dommage moral et pour frais et dépens sont excessives.</w:t>
      </w:r>
    </w:p>
    <w:p w:rsidR="00E40C8E" w:rsidP="005618BF" w:rsidRDefault="00E40C8E">
      <w:pPr>
        <w:pStyle w:val="OpiPara"/>
        <w:rPr>
          <w:szCs w:val="24"/>
        </w:rPr>
      </w:pPr>
      <w:r>
        <w:rPr>
          <w:szCs w:val="24"/>
        </w:rPr>
        <w:t>D</w:t>
      </w:r>
      <w:r w:rsidR="002257E9">
        <w:rPr>
          <w:szCs w:val="24"/>
        </w:rPr>
        <w:t>’</w:t>
      </w:r>
      <w:r>
        <w:rPr>
          <w:szCs w:val="24"/>
        </w:rPr>
        <w:t>abord, il n</w:t>
      </w:r>
      <w:r w:rsidR="002257E9">
        <w:rPr>
          <w:szCs w:val="24"/>
        </w:rPr>
        <w:t>’</w:t>
      </w:r>
      <w:r>
        <w:rPr>
          <w:szCs w:val="24"/>
        </w:rPr>
        <w:t>est pas juste que la Cour, comme elle l</w:t>
      </w:r>
      <w:r w:rsidR="002257E9">
        <w:rPr>
          <w:szCs w:val="24"/>
        </w:rPr>
        <w:t>’</w:t>
      </w:r>
      <w:r>
        <w:rPr>
          <w:szCs w:val="24"/>
        </w:rPr>
        <w:t>a fait en l</w:t>
      </w:r>
      <w:r w:rsidR="002257E9">
        <w:rPr>
          <w:szCs w:val="24"/>
        </w:rPr>
        <w:t>’</w:t>
      </w:r>
      <w:r>
        <w:rPr>
          <w:szCs w:val="24"/>
        </w:rPr>
        <w:t>espèce, condamne le gouvernement défendeur à indemniser le requérant lorsqu</w:t>
      </w:r>
      <w:r w:rsidR="002257E9">
        <w:rPr>
          <w:szCs w:val="24"/>
        </w:rPr>
        <w:t>’</w:t>
      </w:r>
      <w:r>
        <w:rPr>
          <w:szCs w:val="24"/>
        </w:rPr>
        <w:t>elle s</w:t>
      </w:r>
      <w:r w:rsidR="002257E9">
        <w:rPr>
          <w:szCs w:val="24"/>
        </w:rPr>
        <w:t>’</w:t>
      </w:r>
      <w:r>
        <w:rPr>
          <w:szCs w:val="24"/>
        </w:rPr>
        <w:t>écarte de sa jurisprudence existante.</w:t>
      </w:r>
    </w:p>
    <w:p w:rsidR="00E40C8E" w:rsidP="005618BF" w:rsidRDefault="00E40C8E">
      <w:pPr>
        <w:pStyle w:val="OpiPara"/>
      </w:pPr>
      <w:r>
        <w:rPr>
          <w:szCs w:val="24"/>
        </w:rPr>
        <w:t>Deuxièmement, on ne peut douter que la cohérence de la jurisprudence de la Cour en matière de satisfaction équitable revête également une importance particulière pour les gouvernements, notamment du point de vue de la prévisibilité. La Cour a récemment traité un cas identique à celui de la présente espèce dans l</w:t>
      </w:r>
      <w:r w:rsidR="002257E9">
        <w:rPr>
          <w:szCs w:val="24"/>
        </w:rPr>
        <w:t>’</w:t>
      </w:r>
      <w:r>
        <w:rPr>
          <w:szCs w:val="24"/>
        </w:rPr>
        <w:t xml:space="preserve">affaire </w:t>
      </w:r>
      <w:r>
        <w:rPr>
          <w:i/>
        </w:rPr>
        <w:t>Ülke c. Turquie</w:t>
      </w:r>
      <w:r>
        <w:t xml:space="preserve"> (n</w:t>
      </w:r>
      <w:r>
        <w:rPr>
          <w:vertAlign w:val="superscript"/>
        </w:rPr>
        <w:t>o</w:t>
      </w:r>
      <w:r w:rsidR="00C27424">
        <w:t xml:space="preserve"> 39437/98, 24 janvier </w:t>
      </w:r>
      <w:r>
        <w:t>2006), où le requérant demandait réparation pour l</w:t>
      </w:r>
      <w:r w:rsidR="002257E9">
        <w:t>’</w:t>
      </w:r>
      <w:r>
        <w:t>angoisse éprouvée par lui du fait des neuf procédures pénales qui avaient été intentées contre lui et qui toutes s</w:t>
      </w:r>
      <w:r w:rsidR="002257E9">
        <w:t>’</w:t>
      </w:r>
      <w:r>
        <w:t>étaient soldées par des condamnations à des peines d</w:t>
      </w:r>
      <w:r w:rsidR="002257E9">
        <w:t>’</w:t>
      </w:r>
      <w:r>
        <w:t>emprisonnement, et du risque auquel il était à tout moment exposé d</w:t>
      </w:r>
      <w:r w:rsidR="002257E9">
        <w:t>’</w:t>
      </w:r>
      <w:r>
        <w:t>être à nouveau arrêté comme déserteur. Or la somme allouée au requérant en l</w:t>
      </w:r>
      <w:r w:rsidR="002257E9">
        <w:t>’</w:t>
      </w:r>
      <w:r>
        <w:t xml:space="preserve">espèce pour dommage moral est identique à celle octroyée au requérant </w:t>
      </w:r>
      <w:r>
        <w:rPr>
          <w:szCs w:val="24"/>
        </w:rPr>
        <w:t>dans l</w:t>
      </w:r>
      <w:r w:rsidR="002257E9">
        <w:rPr>
          <w:szCs w:val="24"/>
        </w:rPr>
        <w:t>’</w:t>
      </w:r>
      <w:r>
        <w:rPr>
          <w:szCs w:val="24"/>
        </w:rPr>
        <w:t xml:space="preserve">affaire </w:t>
      </w:r>
      <w:r>
        <w:rPr>
          <w:i/>
        </w:rPr>
        <w:t>Ülke</w:t>
      </w:r>
      <w:r>
        <w:t>.</w:t>
      </w:r>
    </w:p>
    <w:p w:rsidR="006C5B9E" w:rsidP="005618BF" w:rsidRDefault="00E40C8E">
      <w:pPr>
        <w:pStyle w:val="OpiPara"/>
      </w:pPr>
      <w:r>
        <w:t>Enfin, la Cour a depuis longtemps pour pratique d</w:t>
      </w:r>
      <w:r w:rsidR="002257E9">
        <w:t>’</w:t>
      </w:r>
      <w:r>
        <w:t>ajuster</w:t>
      </w:r>
      <w:r w:rsidRPr="00141410">
        <w:t xml:space="preserve"> </w:t>
      </w:r>
      <w:r>
        <w:t>en fonction du nombre de violations constatées le montant à accorder au titre des frais et dépens. Or en l</w:t>
      </w:r>
      <w:r w:rsidR="002257E9">
        <w:t>’</w:t>
      </w:r>
      <w:r>
        <w:t>espèce la requête initialement introduite par le requérant comportait de nombreux autres griefs tirés de l</w:t>
      </w:r>
      <w:r w:rsidR="002257E9">
        <w:t>’</w:t>
      </w:r>
      <w:r>
        <w:t>article 5 §§ 1, 3 et 5, de l</w:t>
      </w:r>
      <w:r w:rsidR="002257E9">
        <w:t>’</w:t>
      </w:r>
      <w:r>
        <w:t>article 6 et de l</w:t>
      </w:r>
      <w:r w:rsidR="002257E9">
        <w:t>’</w:t>
      </w:r>
      <w:r>
        <w:t>article 14 de la Convention, qui tous ont été déclarés irrecevables. La Cour n</w:t>
      </w:r>
      <w:r w:rsidR="002257E9">
        <w:t>’</w:t>
      </w:r>
      <w:r>
        <w:t>a pas dûment pris en considération le fait qu</w:t>
      </w:r>
      <w:r w:rsidR="002257E9">
        <w:t>’</w:t>
      </w:r>
      <w:r>
        <w:t>un seul de ces griefs a été déclaré recevable et qu</w:t>
      </w:r>
      <w:r w:rsidR="002257E9">
        <w:t>’</w:t>
      </w:r>
      <w:r>
        <w:t>une seule violation a été constatée, ce alors même qu</w:t>
      </w:r>
      <w:r w:rsidR="002257E9">
        <w:t>’</w:t>
      </w:r>
      <w:r>
        <w:t>elle réaffirme au paragraphe 135 de son arrêt que les frais de justice ne sont recouvrables que dans la mesure où ils se rapportent à la violation constatée.</w:t>
      </w:r>
    </w:p>
    <w:p w:rsidRPr="000B6220" w:rsidR="005618BF" w:rsidP="005618BF" w:rsidRDefault="005618BF">
      <w:pPr>
        <w:pStyle w:val="OpiPara"/>
      </w:pPr>
    </w:p>
    <w:sectPr w:rsidRPr="000B6220" w:rsidR="005618BF" w:rsidSect="00F8494E">
      <w:headerReference w:type="even" r:id="rId11"/>
      <w:headerReference w:type="default" r:id="rId12"/>
      <w:pgSz w:w="11906" w:h="16838" w:code="9"/>
      <w:pgMar w:top="2274" w:right="2274" w:bottom="2274" w:left="2274" w:header="1701"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66" w:rsidRDefault="00441D66">
      <w:r>
        <w:separator/>
      </w:r>
    </w:p>
  </w:endnote>
  <w:endnote w:type="continuationSeparator" w:id="0">
    <w:p w:rsidR="00441D66" w:rsidRDefault="004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66" w:rsidRDefault="00441D66">
      <w:r>
        <w:separator/>
      </w:r>
    </w:p>
  </w:footnote>
  <w:footnote w:type="continuationSeparator" w:id="0">
    <w:p w:rsidR="00441D66" w:rsidRDefault="00441D66">
      <w:r>
        <w:continuationSeparator/>
      </w:r>
    </w:p>
  </w:footnote>
  <w:footnote w:id="1">
    <w:p w:rsidR="00C27424" w:rsidRDefault="00C27424">
      <w:pPr>
        <w:pStyle w:val="FootnoteText"/>
      </w:pPr>
      <w:r w:rsidRPr="00E40C8E">
        <w:rPr>
          <w:rStyle w:val="FootnoteReference"/>
          <w:vertAlign w:val="baseline"/>
        </w:rPr>
        <w:footnoteRef/>
      </w:r>
      <w:r>
        <w:t>.  Les passages pertinents de l’article 4 de la Convention sont ainsi libellés : « 2. Nul ne peut être astreint à accomplir un travail forcé ou obligatoire. 3. N’est pas considéré comme « travail forcé ou obligatoire » au sens du présent article : (…) b) tout service de caractère militaire ou, dans le cas d’objecteurs de conscience dans les pays où l’objection de conscience est reconnue comme légitime, un autre service à la place du service militaire obligatoire.»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24" w:rsidRPr="00C00F0F" w:rsidRDefault="00C27424">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DocHeaderBigBlack"/>
        </v:shape>
      </w:pict>
    </w:r>
  </w:p>
  <w:p w:rsidR="00C27424" w:rsidRPr="00E40C8E" w:rsidRDefault="00C27424" w:rsidP="00E40C8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24" w:rsidRDefault="00C27424">
    <w:pPr>
      <w:pStyle w:val="JuHeader"/>
    </w:pPr>
    <w:r>
      <w:rPr>
        <w:rStyle w:val="PageNumber"/>
      </w:rPr>
      <w:fldChar w:fldCharType="begin"/>
    </w:r>
    <w:r>
      <w:rPr>
        <w:rStyle w:val="PageNumber"/>
      </w:rPr>
      <w:instrText xml:space="preserve"> PAGE </w:instrText>
    </w:r>
    <w:r>
      <w:rPr>
        <w:rStyle w:val="PageNumber"/>
      </w:rPr>
      <w:fldChar w:fldCharType="separate"/>
    </w:r>
    <w:r w:rsidR="002257E9">
      <w:rPr>
        <w:rStyle w:val="PageNumber"/>
        <w:noProof/>
      </w:rPr>
      <w:t>38</w:t>
    </w:r>
    <w:r>
      <w:rPr>
        <w:rStyle w:val="PageNumber"/>
      </w:rPr>
      <w:fldChar w:fldCharType="end"/>
    </w:r>
    <w:r>
      <w:tab/>
    </w:r>
    <w:r>
      <w:rPr>
        <w:noProof/>
        <w:lang w:val="en-GB"/>
      </w:rPr>
      <w:t>ARRÊT</w:t>
    </w:r>
    <w:r w:rsidRPr="006C5B9E">
      <w:rPr>
        <w:lang w:val="en-GB"/>
      </w:rPr>
      <w:t xml:space="preserve"> </w:t>
    </w:r>
    <w:r>
      <w:rPr>
        <w:lang w:val="en-GB"/>
      </w:rPr>
      <w:t>BAYATYAN c. ARMÉNIE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24" w:rsidRDefault="00C27424">
    <w:pPr>
      <w:pStyle w:val="JuHeader"/>
      <w:rPr>
        <w:rStyle w:val="PageNumber"/>
      </w:rPr>
    </w:pPr>
    <w:r>
      <w:tab/>
    </w:r>
    <w:r>
      <w:rPr>
        <w:noProof/>
        <w:lang w:val="en-GB"/>
      </w:rPr>
      <w:t>ARRÊT</w:t>
    </w:r>
    <w:r w:rsidRPr="006C5B9E">
      <w:rPr>
        <w:lang w:val="en-GB"/>
      </w:rPr>
      <w:t xml:space="preserve"> </w:t>
    </w:r>
    <w:r>
      <w:rPr>
        <w:lang w:val="en-GB"/>
      </w:rPr>
      <w:t>BAYATYAN c. ARMÉNIE</w:t>
    </w:r>
    <w:r>
      <w:tab/>
    </w:r>
    <w:r>
      <w:rPr>
        <w:rStyle w:val="PageNumber"/>
      </w:rPr>
      <w:fldChar w:fldCharType="begin"/>
    </w:r>
    <w:r>
      <w:rPr>
        <w:rStyle w:val="PageNumber"/>
      </w:rPr>
      <w:instrText xml:space="preserve"> PAGE </w:instrText>
    </w:r>
    <w:r>
      <w:rPr>
        <w:rStyle w:val="PageNumber"/>
      </w:rPr>
      <w:fldChar w:fldCharType="separate"/>
    </w:r>
    <w:r w:rsidR="002257E9">
      <w:rPr>
        <w:rStyle w:val="PageNumber"/>
        <w:noProof/>
      </w:rPr>
      <w:t>37</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24" w:rsidRPr="00F8494E" w:rsidRDefault="00C27424">
    <w:pPr>
      <w:pStyle w:val="JuHeader"/>
    </w:pPr>
    <w:r>
      <w:rPr>
        <w:rStyle w:val="PageNumber"/>
        <w:lang w:val="en-GB"/>
      </w:rPr>
      <w:fldChar w:fldCharType="begin"/>
    </w:r>
    <w:r w:rsidRPr="00F8494E">
      <w:rPr>
        <w:rStyle w:val="PageNumber"/>
      </w:rPr>
      <w:instrText xml:space="preserve"> PAGE </w:instrText>
    </w:r>
    <w:r>
      <w:rPr>
        <w:rStyle w:val="PageNumber"/>
        <w:lang w:val="en-GB"/>
      </w:rPr>
      <w:fldChar w:fldCharType="separate"/>
    </w:r>
    <w:r w:rsidR="002257E9">
      <w:rPr>
        <w:rStyle w:val="PageNumber"/>
        <w:noProof/>
      </w:rPr>
      <w:t>42</w:t>
    </w:r>
    <w:r>
      <w:rPr>
        <w:rStyle w:val="PageNumber"/>
        <w:lang w:val="en-GB"/>
      </w:rPr>
      <w:fldChar w:fldCharType="end"/>
    </w:r>
    <w:r w:rsidRPr="00F8494E">
      <w:tab/>
    </w:r>
    <w:r w:rsidRPr="00F8494E">
      <w:rPr>
        <w:noProof/>
      </w:rPr>
      <w:t>ARRÊT</w:t>
    </w:r>
    <w:r w:rsidRPr="00F8494E">
      <w:t xml:space="preserve"> BAYATYAN c. ARMÉNIE – OPINION SÉ</w:t>
    </w:r>
    <w:r>
      <w:t xml:space="preserve">PARÉE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24" w:rsidRPr="00F8494E" w:rsidRDefault="00C27424">
    <w:pPr>
      <w:pStyle w:val="JuHeader"/>
    </w:pPr>
    <w:r>
      <w:tab/>
    </w:r>
    <w:r w:rsidRPr="00F8494E">
      <w:rPr>
        <w:noProof/>
      </w:rPr>
      <w:t>ARRÊT</w:t>
    </w:r>
    <w:r w:rsidRPr="00F8494E">
      <w:t xml:space="preserve"> BAYATYAN c. ARMÉNIE – OPINION SÉ</w:t>
    </w:r>
    <w:r>
      <w:t>PARÉE</w:t>
    </w:r>
    <w:r w:rsidRPr="00F8494E">
      <w:tab/>
    </w:r>
    <w:r>
      <w:rPr>
        <w:rStyle w:val="PageNumber"/>
        <w:lang w:val="en-GB"/>
      </w:rPr>
      <w:fldChar w:fldCharType="begin"/>
    </w:r>
    <w:r w:rsidRPr="00F8494E">
      <w:rPr>
        <w:rStyle w:val="PageNumber"/>
      </w:rPr>
      <w:instrText xml:space="preserve"> PAGE </w:instrText>
    </w:r>
    <w:r>
      <w:rPr>
        <w:rStyle w:val="PageNumber"/>
        <w:lang w:val="en-GB"/>
      </w:rPr>
      <w:fldChar w:fldCharType="separate"/>
    </w:r>
    <w:r w:rsidR="002257E9">
      <w:rPr>
        <w:rStyle w:val="PageNumber"/>
        <w:noProof/>
      </w:rPr>
      <w:t>41</w:t>
    </w:r>
    <w:r>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BCE804"/>
    <w:lvl w:ilvl="0">
      <w:start w:val="1"/>
      <w:numFmt w:val="decimal"/>
      <w:lvlText w:val="%1."/>
      <w:lvlJc w:val="left"/>
      <w:pPr>
        <w:tabs>
          <w:tab w:val="num" w:pos="1492"/>
        </w:tabs>
        <w:ind w:left="1492" w:hanging="360"/>
      </w:pPr>
    </w:lvl>
  </w:abstractNum>
  <w:abstractNum w:abstractNumId="1">
    <w:nsid w:val="FFFFFF7D"/>
    <w:multiLevelType w:val="singleLevel"/>
    <w:tmpl w:val="8B86FD3C"/>
    <w:lvl w:ilvl="0">
      <w:start w:val="1"/>
      <w:numFmt w:val="decimal"/>
      <w:lvlText w:val="%1."/>
      <w:lvlJc w:val="left"/>
      <w:pPr>
        <w:tabs>
          <w:tab w:val="num" w:pos="1209"/>
        </w:tabs>
        <w:ind w:left="1209" w:hanging="360"/>
      </w:pPr>
    </w:lvl>
  </w:abstractNum>
  <w:abstractNum w:abstractNumId="2">
    <w:nsid w:val="FFFFFF7E"/>
    <w:multiLevelType w:val="singleLevel"/>
    <w:tmpl w:val="1E3E8A12"/>
    <w:lvl w:ilvl="0">
      <w:start w:val="1"/>
      <w:numFmt w:val="decimal"/>
      <w:lvlText w:val="%1."/>
      <w:lvlJc w:val="left"/>
      <w:pPr>
        <w:tabs>
          <w:tab w:val="num" w:pos="926"/>
        </w:tabs>
        <w:ind w:left="926" w:hanging="360"/>
      </w:pPr>
    </w:lvl>
  </w:abstractNum>
  <w:abstractNum w:abstractNumId="3">
    <w:nsid w:val="FFFFFF7F"/>
    <w:multiLevelType w:val="singleLevel"/>
    <w:tmpl w:val="78CCC57A"/>
    <w:lvl w:ilvl="0">
      <w:start w:val="1"/>
      <w:numFmt w:val="decimal"/>
      <w:lvlText w:val="%1."/>
      <w:lvlJc w:val="left"/>
      <w:pPr>
        <w:tabs>
          <w:tab w:val="num" w:pos="643"/>
        </w:tabs>
        <w:ind w:left="643" w:hanging="360"/>
      </w:pPr>
    </w:lvl>
  </w:abstractNum>
  <w:abstractNum w:abstractNumId="4">
    <w:nsid w:val="FFFFFF80"/>
    <w:multiLevelType w:val="singleLevel"/>
    <w:tmpl w:val="DB141A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729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C02C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D207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DCDA5E"/>
    <w:lvl w:ilvl="0">
      <w:start w:val="1"/>
      <w:numFmt w:val="decimal"/>
      <w:lvlText w:val="%1."/>
      <w:lvlJc w:val="left"/>
      <w:pPr>
        <w:tabs>
          <w:tab w:val="num" w:pos="360"/>
        </w:tabs>
        <w:ind w:left="360" w:hanging="360"/>
      </w:pPr>
    </w:lvl>
  </w:abstractNum>
  <w:abstractNum w:abstractNumId="9">
    <w:nsid w:val="FFFFFF89"/>
    <w:multiLevelType w:val="singleLevel"/>
    <w:tmpl w:val="6CDA5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BBE6CBD"/>
    <w:multiLevelType w:val="hybridMultilevel"/>
    <w:tmpl w:val="5B122094"/>
    <w:lvl w:ilvl="0" w:tplc="4FDAD2AA">
      <w:start w:val="1"/>
      <w:numFmt w:val="decimal"/>
      <w:pStyle w:val="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fr-FR" w:vendorID="9" w:dllVersion="512" w:checkStyle="1"/>
  <w:activeWritingStyle w:appName="MSWord" w:lang="en-GB"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0"/>
    <w:docVar w:name="EMM" w:val="0"/>
    <w:docVar w:name="ETRANSMISSION" w:val="PAR VOIE ÉLECTRONIQUE UNIQUEMENT"/>
    <w:docVar w:name="L4_1Annex" w:val="0"/>
    <w:docVar w:name="L4_1Anonymity" w:val="0"/>
    <w:docVar w:name="NBEMMDOC" w:val="0"/>
    <w:docVar w:name="SignForeName" w:val="0"/>
  </w:docVars>
  <w:rsids>
    <w:rsidRoot w:val="00BB71B1"/>
    <w:rsid w:val="00000DC5"/>
    <w:rsid w:val="00002678"/>
    <w:rsid w:val="00002AAE"/>
    <w:rsid w:val="00010EF1"/>
    <w:rsid w:val="00011AA4"/>
    <w:rsid w:val="0001425E"/>
    <w:rsid w:val="00017B6C"/>
    <w:rsid w:val="00024D2A"/>
    <w:rsid w:val="00040D9B"/>
    <w:rsid w:val="00041F15"/>
    <w:rsid w:val="000424CE"/>
    <w:rsid w:val="00043CE3"/>
    <w:rsid w:val="00044B89"/>
    <w:rsid w:val="00047874"/>
    <w:rsid w:val="00056E73"/>
    <w:rsid w:val="0005783A"/>
    <w:rsid w:val="00063CEB"/>
    <w:rsid w:val="00067024"/>
    <w:rsid w:val="0007098E"/>
    <w:rsid w:val="00083451"/>
    <w:rsid w:val="00084D60"/>
    <w:rsid w:val="00095285"/>
    <w:rsid w:val="00095B99"/>
    <w:rsid w:val="00097FC8"/>
    <w:rsid w:val="000A0387"/>
    <w:rsid w:val="000A2D35"/>
    <w:rsid w:val="000A56DC"/>
    <w:rsid w:val="000B24E4"/>
    <w:rsid w:val="000B35C0"/>
    <w:rsid w:val="000B51F5"/>
    <w:rsid w:val="000B6220"/>
    <w:rsid w:val="000B64B9"/>
    <w:rsid w:val="000B718E"/>
    <w:rsid w:val="000B72C4"/>
    <w:rsid w:val="000D0018"/>
    <w:rsid w:val="000D5D85"/>
    <w:rsid w:val="000D7EDB"/>
    <w:rsid w:val="000E157F"/>
    <w:rsid w:val="000E321F"/>
    <w:rsid w:val="000E72EB"/>
    <w:rsid w:val="000F09AB"/>
    <w:rsid w:val="000F0EA3"/>
    <w:rsid w:val="000F31C0"/>
    <w:rsid w:val="000F70A9"/>
    <w:rsid w:val="000F7168"/>
    <w:rsid w:val="000F7E77"/>
    <w:rsid w:val="00105B6D"/>
    <w:rsid w:val="00106BE7"/>
    <w:rsid w:val="0011143D"/>
    <w:rsid w:val="001179AB"/>
    <w:rsid w:val="001209BC"/>
    <w:rsid w:val="00122912"/>
    <w:rsid w:val="00123D17"/>
    <w:rsid w:val="00124592"/>
    <w:rsid w:val="00124BDC"/>
    <w:rsid w:val="0013555A"/>
    <w:rsid w:val="001421B0"/>
    <w:rsid w:val="00142CF3"/>
    <w:rsid w:val="00146229"/>
    <w:rsid w:val="0015009B"/>
    <w:rsid w:val="001563C3"/>
    <w:rsid w:val="001577E2"/>
    <w:rsid w:val="00160064"/>
    <w:rsid w:val="001633E5"/>
    <w:rsid w:val="00165A9C"/>
    <w:rsid w:val="0017725F"/>
    <w:rsid w:val="00177B59"/>
    <w:rsid w:val="001838D5"/>
    <w:rsid w:val="00183E87"/>
    <w:rsid w:val="001860A4"/>
    <w:rsid w:val="0019252A"/>
    <w:rsid w:val="00192E51"/>
    <w:rsid w:val="00196786"/>
    <w:rsid w:val="001A00FF"/>
    <w:rsid w:val="001A3707"/>
    <w:rsid w:val="001A509A"/>
    <w:rsid w:val="001A5FB2"/>
    <w:rsid w:val="001B2FCE"/>
    <w:rsid w:val="001B4075"/>
    <w:rsid w:val="001D0D05"/>
    <w:rsid w:val="001D0E22"/>
    <w:rsid w:val="001D3DA0"/>
    <w:rsid w:val="001D720D"/>
    <w:rsid w:val="001D7281"/>
    <w:rsid w:val="001E07AB"/>
    <w:rsid w:val="001E23A9"/>
    <w:rsid w:val="001E388C"/>
    <w:rsid w:val="001E642B"/>
    <w:rsid w:val="001E66F6"/>
    <w:rsid w:val="001E7324"/>
    <w:rsid w:val="001F1BBE"/>
    <w:rsid w:val="001F3333"/>
    <w:rsid w:val="001F3F32"/>
    <w:rsid w:val="001F4B79"/>
    <w:rsid w:val="001F59CD"/>
    <w:rsid w:val="0020166B"/>
    <w:rsid w:val="00210387"/>
    <w:rsid w:val="00217933"/>
    <w:rsid w:val="00220809"/>
    <w:rsid w:val="00221B3A"/>
    <w:rsid w:val="0022256A"/>
    <w:rsid w:val="00224D2A"/>
    <w:rsid w:val="002257E9"/>
    <w:rsid w:val="002259BC"/>
    <w:rsid w:val="00226498"/>
    <w:rsid w:val="00227D07"/>
    <w:rsid w:val="00233A5D"/>
    <w:rsid w:val="00233AD6"/>
    <w:rsid w:val="00236E97"/>
    <w:rsid w:val="002376A3"/>
    <w:rsid w:val="00242619"/>
    <w:rsid w:val="0024273C"/>
    <w:rsid w:val="00247684"/>
    <w:rsid w:val="00250012"/>
    <w:rsid w:val="0025145E"/>
    <w:rsid w:val="00253983"/>
    <w:rsid w:val="0025517A"/>
    <w:rsid w:val="00255A78"/>
    <w:rsid w:val="00256513"/>
    <w:rsid w:val="00257EFF"/>
    <w:rsid w:val="00263D38"/>
    <w:rsid w:val="00270037"/>
    <w:rsid w:val="002726E5"/>
    <w:rsid w:val="002746CD"/>
    <w:rsid w:val="00274E5D"/>
    <w:rsid w:val="002802E8"/>
    <w:rsid w:val="002805B0"/>
    <w:rsid w:val="00282908"/>
    <w:rsid w:val="00287CD0"/>
    <w:rsid w:val="00291791"/>
    <w:rsid w:val="00294460"/>
    <w:rsid w:val="0029659D"/>
    <w:rsid w:val="00296BB9"/>
    <w:rsid w:val="00296EA9"/>
    <w:rsid w:val="002A0C80"/>
    <w:rsid w:val="002A209C"/>
    <w:rsid w:val="002A3B1B"/>
    <w:rsid w:val="002A430A"/>
    <w:rsid w:val="002A4CD4"/>
    <w:rsid w:val="002A63F0"/>
    <w:rsid w:val="002B1826"/>
    <w:rsid w:val="002B1D28"/>
    <w:rsid w:val="002B4311"/>
    <w:rsid w:val="002B4985"/>
    <w:rsid w:val="002B5A41"/>
    <w:rsid w:val="002C1D78"/>
    <w:rsid w:val="002C399C"/>
    <w:rsid w:val="002C50CF"/>
    <w:rsid w:val="002C70DF"/>
    <w:rsid w:val="002D13AC"/>
    <w:rsid w:val="002D2A79"/>
    <w:rsid w:val="002D362B"/>
    <w:rsid w:val="002E2FE9"/>
    <w:rsid w:val="002E3A77"/>
    <w:rsid w:val="002E726D"/>
    <w:rsid w:val="002E7923"/>
    <w:rsid w:val="002F0473"/>
    <w:rsid w:val="002F42ED"/>
    <w:rsid w:val="002F6521"/>
    <w:rsid w:val="002F6AE6"/>
    <w:rsid w:val="002F7C6A"/>
    <w:rsid w:val="003055AB"/>
    <w:rsid w:val="00311AD5"/>
    <w:rsid w:val="00320C48"/>
    <w:rsid w:val="00321852"/>
    <w:rsid w:val="0032209E"/>
    <w:rsid w:val="003469B6"/>
    <w:rsid w:val="00346DBA"/>
    <w:rsid w:val="003474FE"/>
    <w:rsid w:val="00347574"/>
    <w:rsid w:val="003550D6"/>
    <w:rsid w:val="0035540C"/>
    <w:rsid w:val="00357517"/>
    <w:rsid w:val="00361EC1"/>
    <w:rsid w:val="00367326"/>
    <w:rsid w:val="003709B9"/>
    <w:rsid w:val="00370C24"/>
    <w:rsid w:val="00371672"/>
    <w:rsid w:val="00373A80"/>
    <w:rsid w:val="003744B3"/>
    <w:rsid w:val="003757B5"/>
    <w:rsid w:val="00383122"/>
    <w:rsid w:val="00383981"/>
    <w:rsid w:val="00386068"/>
    <w:rsid w:val="00387343"/>
    <w:rsid w:val="00393DD6"/>
    <w:rsid w:val="003B01B3"/>
    <w:rsid w:val="003B3A78"/>
    <w:rsid w:val="003C62B6"/>
    <w:rsid w:val="003D18D9"/>
    <w:rsid w:val="003D2419"/>
    <w:rsid w:val="003D71AE"/>
    <w:rsid w:val="003E0DD5"/>
    <w:rsid w:val="003E0E5D"/>
    <w:rsid w:val="003E181D"/>
    <w:rsid w:val="003E1D51"/>
    <w:rsid w:val="003E1F5A"/>
    <w:rsid w:val="003E4089"/>
    <w:rsid w:val="003F3A7B"/>
    <w:rsid w:val="003F5D9B"/>
    <w:rsid w:val="00400A6E"/>
    <w:rsid w:val="00400AEA"/>
    <w:rsid w:val="00400BD4"/>
    <w:rsid w:val="0040620C"/>
    <w:rsid w:val="00411985"/>
    <w:rsid w:val="004121D6"/>
    <w:rsid w:val="00414E0D"/>
    <w:rsid w:val="00417BDB"/>
    <w:rsid w:val="00422625"/>
    <w:rsid w:val="0042326F"/>
    <w:rsid w:val="00423B7D"/>
    <w:rsid w:val="00424A38"/>
    <w:rsid w:val="00424BA6"/>
    <w:rsid w:val="00430D7B"/>
    <w:rsid w:val="004365F9"/>
    <w:rsid w:val="00441D66"/>
    <w:rsid w:val="0044259D"/>
    <w:rsid w:val="00442C6A"/>
    <w:rsid w:val="00447F9E"/>
    <w:rsid w:val="004519B8"/>
    <w:rsid w:val="00455C44"/>
    <w:rsid w:val="00456063"/>
    <w:rsid w:val="00464091"/>
    <w:rsid w:val="00464A9A"/>
    <w:rsid w:val="00465898"/>
    <w:rsid w:val="00466B90"/>
    <w:rsid w:val="00471449"/>
    <w:rsid w:val="00471E7F"/>
    <w:rsid w:val="004862B5"/>
    <w:rsid w:val="00487DB2"/>
    <w:rsid w:val="0049125B"/>
    <w:rsid w:val="004A0972"/>
    <w:rsid w:val="004A0E08"/>
    <w:rsid w:val="004A53FE"/>
    <w:rsid w:val="004A6230"/>
    <w:rsid w:val="004A6DAE"/>
    <w:rsid w:val="004B23AE"/>
    <w:rsid w:val="004B32C8"/>
    <w:rsid w:val="004B588C"/>
    <w:rsid w:val="004B5AD4"/>
    <w:rsid w:val="004C0F8E"/>
    <w:rsid w:val="004C1C81"/>
    <w:rsid w:val="004C269C"/>
    <w:rsid w:val="004C2767"/>
    <w:rsid w:val="004C4140"/>
    <w:rsid w:val="004C7D73"/>
    <w:rsid w:val="004D09CF"/>
    <w:rsid w:val="004D1303"/>
    <w:rsid w:val="004D52CD"/>
    <w:rsid w:val="004E0F8A"/>
    <w:rsid w:val="004E205B"/>
    <w:rsid w:val="004F0D7A"/>
    <w:rsid w:val="004F3590"/>
    <w:rsid w:val="004F797A"/>
    <w:rsid w:val="004F7F22"/>
    <w:rsid w:val="0050222B"/>
    <w:rsid w:val="00505194"/>
    <w:rsid w:val="005120DB"/>
    <w:rsid w:val="0051225B"/>
    <w:rsid w:val="0051249A"/>
    <w:rsid w:val="00513028"/>
    <w:rsid w:val="0051573B"/>
    <w:rsid w:val="005220E5"/>
    <w:rsid w:val="00524C7B"/>
    <w:rsid w:val="005253A7"/>
    <w:rsid w:val="00525CF3"/>
    <w:rsid w:val="00527635"/>
    <w:rsid w:val="00533965"/>
    <w:rsid w:val="00534AAB"/>
    <w:rsid w:val="005356B9"/>
    <w:rsid w:val="00535D22"/>
    <w:rsid w:val="00536EB9"/>
    <w:rsid w:val="00546341"/>
    <w:rsid w:val="0055245F"/>
    <w:rsid w:val="005532A1"/>
    <w:rsid w:val="00553CB4"/>
    <w:rsid w:val="00554534"/>
    <w:rsid w:val="00556AE0"/>
    <w:rsid w:val="00560A01"/>
    <w:rsid w:val="005618BF"/>
    <w:rsid w:val="005640D3"/>
    <w:rsid w:val="00566162"/>
    <w:rsid w:val="00567CBB"/>
    <w:rsid w:val="00571C5C"/>
    <w:rsid w:val="0057535F"/>
    <w:rsid w:val="005756D9"/>
    <w:rsid w:val="00580707"/>
    <w:rsid w:val="00580FF0"/>
    <w:rsid w:val="0058285E"/>
    <w:rsid w:val="005845A3"/>
    <w:rsid w:val="005862F4"/>
    <w:rsid w:val="0058765F"/>
    <w:rsid w:val="00590AA3"/>
    <w:rsid w:val="005A1B17"/>
    <w:rsid w:val="005A277B"/>
    <w:rsid w:val="005A629D"/>
    <w:rsid w:val="005A62C6"/>
    <w:rsid w:val="005B0A9C"/>
    <w:rsid w:val="005B4DE2"/>
    <w:rsid w:val="005B5F13"/>
    <w:rsid w:val="005B6A69"/>
    <w:rsid w:val="005B741C"/>
    <w:rsid w:val="005C401E"/>
    <w:rsid w:val="005C6BBE"/>
    <w:rsid w:val="005D740F"/>
    <w:rsid w:val="005E0C1A"/>
    <w:rsid w:val="005E1BC1"/>
    <w:rsid w:val="005E4BB9"/>
    <w:rsid w:val="005E7243"/>
    <w:rsid w:val="005E7B6F"/>
    <w:rsid w:val="005F2BD1"/>
    <w:rsid w:val="00600DAB"/>
    <w:rsid w:val="00601B43"/>
    <w:rsid w:val="00603A94"/>
    <w:rsid w:val="00605A93"/>
    <w:rsid w:val="00620B76"/>
    <w:rsid w:val="00627DC0"/>
    <w:rsid w:val="00631C4B"/>
    <w:rsid w:val="006326E1"/>
    <w:rsid w:val="00633B1F"/>
    <w:rsid w:val="006360B6"/>
    <w:rsid w:val="00636CCA"/>
    <w:rsid w:val="0064196F"/>
    <w:rsid w:val="00644F24"/>
    <w:rsid w:val="006461CF"/>
    <w:rsid w:val="006568CA"/>
    <w:rsid w:val="0065749F"/>
    <w:rsid w:val="00661AFD"/>
    <w:rsid w:val="00663EC4"/>
    <w:rsid w:val="00664B80"/>
    <w:rsid w:val="006657FE"/>
    <w:rsid w:val="00666D1D"/>
    <w:rsid w:val="0067137B"/>
    <w:rsid w:val="0067486A"/>
    <w:rsid w:val="00674DB5"/>
    <w:rsid w:val="00681E88"/>
    <w:rsid w:val="00682016"/>
    <w:rsid w:val="006830D7"/>
    <w:rsid w:val="00685624"/>
    <w:rsid w:val="00686A6F"/>
    <w:rsid w:val="00691628"/>
    <w:rsid w:val="006A0113"/>
    <w:rsid w:val="006A05BB"/>
    <w:rsid w:val="006A528D"/>
    <w:rsid w:val="006B2278"/>
    <w:rsid w:val="006B250E"/>
    <w:rsid w:val="006B2E7B"/>
    <w:rsid w:val="006B32E5"/>
    <w:rsid w:val="006C2398"/>
    <w:rsid w:val="006C50FB"/>
    <w:rsid w:val="006C5B9E"/>
    <w:rsid w:val="006C5EA6"/>
    <w:rsid w:val="006C5EB0"/>
    <w:rsid w:val="006C6ADE"/>
    <w:rsid w:val="006C6C60"/>
    <w:rsid w:val="006D7D07"/>
    <w:rsid w:val="006E0F88"/>
    <w:rsid w:val="006E346A"/>
    <w:rsid w:val="006E4CC3"/>
    <w:rsid w:val="006E50C7"/>
    <w:rsid w:val="006E5F4D"/>
    <w:rsid w:val="006F22CB"/>
    <w:rsid w:val="006F5CE3"/>
    <w:rsid w:val="007009DC"/>
    <w:rsid w:val="00701E79"/>
    <w:rsid w:val="007061C8"/>
    <w:rsid w:val="00706CA3"/>
    <w:rsid w:val="00710317"/>
    <w:rsid w:val="0071097B"/>
    <w:rsid w:val="007134DE"/>
    <w:rsid w:val="00715E29"/>
    <w:rsid w:val="007208D2"/>
    <w:rsid w:val="00721241"/>
    <w:rsid w:val="00723136"/>
    <w:rsid w:val="00732252"/>
    <w:rsid w:val="00733FBB"/>
    <w:rsid w:val="0073424B"/>
    <w:rsid w:val="00735090"/>
    <w:rsid w:val="00736138"/>
    <w:rsid w:val="00737017"/>
    <w:rsid w:val="00741C50"/>
    <w:rsid w:val="00742913"/>
    <w:rsid w:val="007506E5"/>
    <w:rsid w:val="00751E27"/>
    <w:rsid w:val="00752C04"/>
    <w:rsid w:val="007530C0"/>
    <w:rsid w:val="007545C6"/>
    <w:rsid w:val="007565C7"/>
    <w:rsid w:val="007669CB"/>
    <w:rsid w:val="007714C2"/>
    <w:rsid w:val="007716AC"/>
    <w:rsid w:val="007719DF"/>
    <w:rsid w:val="007734DF"/>
    <w:rsid w:val="0077419E"/>
    <w:rsid w:val="00775784"/>
    <w:rsid w:val="00792A01"/>
    <w:rsid w:val="00794A88"/>
    <w:rsid w:val="00795248"/>
    <w:rsid w:val="00795BB4"/>
    <w:rsid w:val="00795EFC"/>
    <w:rsid w:val="0079636C"/>
    <w:rsid w:val="007A4AD0"/>
    <w:rsid w:val="007B1DC0"/>
    <w:rsid w:val="007B3BEA"/>
    <w:rsid w:val="007B6AC5"/>
    <w:rsid w:val="007B7AF7"/>
    <w:rsid w:val="007C1B70"/>
    <w:rsid w:val="007C3130"/>
    <w:rsid w:val="007C4F93"/>
    <w:rsid w:val="007D0627"/>
    <w:rsid w:val="007D314C"/>
    <w:rsid w:val="007D3BD9"/>
    <w:rsid w:val="007D40F0"/>
    <w:rsid w:val="007D5F54"/>
    <w:rsid w:val="007E2467"/>
    <w:rsid w:val="007E33B5"/>
    <w:rsid w:val="007E3E2B"/>
    <w:rsid w:val="007E73A9"/>
    <w:rsid w:val="007F2BB0"/>
    <w:rsid w:val="007F68B7"/>
    <w:rsid w:val="00803598"/>
    <w:rsid w:val="00810190"/>
    <w:rsid w:val="0081332F"/>
    <w:rsid w:val="00813C48"/>
    <w:rsid w:val="00816661"/>
    <w:rsid w:val="00821CDB"/>
    <w:rsid w:val="008302AB"/>
    <w:rsid w:val="00832A49"/>
    <w:rsid w:val="00833601"/>
    <w:rsid w:val="008340D1"/>
    <w:rsid w:val="00834AEA"/>
    <w:rsid w:val="00837F9C"/>
    <w:rsid w:val="008415B8"/>
    <w:rsid w:val="00842AAA"/>
    <w:rsid w:val="00845D54"/>
    <w:rsid w:val="0085318C"/>
    <w:rsid w:val="008560AF"/>
    <w:rsid w:val="00856256"/>
    <w:rsid w:val="0085799B"/>
    <w:rsid w:val="0086024D"/>
    <w:rsid w:val="008647E5"/>
    <w:rsid w:val="008649E9"/>
    <w:rsid w:val="0086561E"/>
    <w:rsid w:val="00865B6A"/>
    <w:rsid w:val="00867631"/>
    <w:rsid w:val="00867CAD"/>
    <w:rsid w:val="008846E7"/>
    <w:rsid w:val="00892B6E"/>
    <w:rsid w:val="00895F97"/>
    <w:rsid w:val="008A0D05"/>
    <w:rsid w:val="008A46C3"/>
    <w:rsid w:val="008A4F36"/>
    <w:rsid w:val="008B09B6"/>
    <w:rsid w:val="008C059A"/>
    <w:rsid w:val="008C0692"/>
    <w:rsid w:val="008C42D8"/>
    <w:rsid w:val="008C4976"/>
    <w:rsid w:val="008C53A9"/>
    <w:rsid w:val="008D0042"/>
    <w:rsid w:val="008D67AF"/>
    <w:rsid w:val="008F1C76"/>
    <w:rsid w:val="008F2555"/>
    <w:rsid w:val="008F6168"/>
    <w:rsid w:val="008F7109"/>
    <w:rsid w:val="0090048B"/>
    <w:rsid w:val="00906ED7"/>
    <w:rsid w:val="009116AB"/>
    <w:rsid w:val="00920938"/>
    <w:rsid w:val="00922AC3"/>
    <w:rsid w:val="009239A2"/>
    <w:rsid w:val="00932044"/>
    <w:rsid w:val="0093464C"/>
    <w:rsid w:val="00941661"/>
    <w:rsid w:val="0094616E"/>
    <w:rsid w:val="00955E76"/>
    <w:rsid w:val="00960A50"/>
    <w:rsid w:val="0096128C"/>
    <w:rsid w:val="00961EF0"/>
    <w:rsid w:val="009637ED"/>
    <w:rsid w:val="009646F4"/>
    <w:rsid w:val="009669A4"/>
    <w:rsid w:val="009735CC"/>
    <w:rsid w:val="00985BA0"/>
    <w:rsid w:val="00985E74"/>
    <w:rsid w:val="0098627E"/>
    <w:rsid w:val="00991150"/>
    <w:rsid w:val="00994265"/>
    <w:rsid w:val="00995303"/>
    <w:rsid w:val="00996314"/>
    <w:rsid w:val="00997202"/>
    <w:rsid w:val="00997927"/>
    <w:rsid w:val="009A1A0B"/>
    <w:rsid w:val="009A2732"/>
    <w:rsid w:val="009A49DF"/>
    <w:rsid w:val="009B02C2"/>
    <w:rsid w:val="009C117B"/>
    <w:rsid w:val="009C650C"/>
    <w:rsid w:val="009D1592"/>
    <w:rsid w:val="009D21EF"/>
    <w:rsid w:val="009E2A22"/>
    <w:rsid w:val="009E4304"/>
    <w:rsid w:val="009E6256"/>
    <w:rsid w:val="009E7CC1"/>
    <w:rsid w:val="009F0857"/>
    <w:rsid w:val="009F14D0"/>
    <w:rsid w:val="009F35F4"/>
    <w:rsid w:val="009F457A"/>
    <w:rsid w:val="009F45E9"/>
    <w:rsid w:val="00A042A7"/>
    <w:rsid w:val="00A05F84"/>
    <w:rsid w:val="00A07E28"/>
    <w:rsid w:val="00A10534"/>
    <w:rsid w:val="00A11B23"/>
    <w:rsid w:val="00A14715"/>
    <w:rsid w:val="00A15A08"/>
    <w:rsid w:val="00A24FFF"/>
    <w:rsid w:val="00A27D5A"/>
    <w:rsid w:val="00A27F61"/>
    <w:rsid w:val="00A357E9"/>
    <w:rsid w:val="00A36ADF"/>
    <w:rsid w:val="00A44C75"/>
    <w:rsid w:val="00A56798"/>
    <w:rsid w:val="00A631D1"/>
    <w:rsid w:val="00A6553D"/>
    <w:rsid w:val="00A7092A"/>
    <w:rsid w:val="00A71C1D"/>
    <w:rsid w:val="00A73130"/>
    <w:rsid w:val="00A736BB"/>
    <w:rsid w:val="00A762DD"/>
    <w:rsid w:val="00A9445C"/>
    <w:rsid w:val="00A948B0"/>
    <w:rsid w:val="00A95D4B"/>
    <w:rsid w:val="00AA01AE"/>
    <w:rsid w:val="00AA2034"/>
    <w:rsid w:val="00AA306B"/>
    <w:rsid w:val="00AA34E3"/>
    <w:rsid w:val="00AA39DB"/>
    <w:rsid w:val="00AA4433"/>
    <w:rsid w:val="00AB325B"/>
    <w:rsid w:val="00AB511F"/>
    <w:rsid w:val="00AC017C"/>
    <w:rsid w:val="00AC0A1A"/>
    <w:rsid w:val="00AC3FDD"/>
    <w:rsid w:val="00AC678D"/>
    <w:rsid w:val="00AD157D"/>
    <w:rsid w:val="00AD269D"/>
    <w:rsid w:val="00AD315F"/>
    <w:rsid w:val="00AD48A8"/>
    <w:rsid w:val="00AD66F5"/>
    <w:rsid w:val="00AE1BCC"/>
    <w:rsid w:val="00AE590D"/>
    <w:rsid w:val="00AF2A4F"/>
    <w:rsid w:val="00AF3005"/>
    <w:rsid w:val="00B0641F"/>
    <w:rsid w:val="00B076A8"/>
    <w:rsid w:val="00B13EC1"/>
    <w:rsid w:val="00B14F8B"/>
    <w:rsid w:val="00B150A5"/>
    <w:rsid w:val="00B20799"/>
    <w:rsid w:val="00B2214A"/>
    <w:rsid w:val="00B2333C"/>
    <w:rsid w:val="00B2377F"/>
    <w:rsid w:val="00B2685F"/>
    <w:rsid w:val="00B30506"/>
    <w:rsid w:val="00B37F32"/>
    <w:rsid w:val="00B50448"/>
    <w:rsid w:val="00B5112B"/>
    <w:rsid w:val="00B559A7"/>
    <w:rsid w:val="00B601FD"/>
    <w:rsid w:val="00B62FF1"/>
    <w:rsid w:val="00B719C2"/>
    <w:rsid w:val="00B72FC1"/>
    <w:rsid w:val="00B80EF1"/>
    <w:rsid w:val="00B81F43"/>
    <w:rsid w:val="00B8295F"/>
    <w:rsid w:val="00B876F5"/>
    <w:rsid w:val="00B93218"/>
    <w:rsid w:val="00B93C2B"/>
    <w:rsid w:val="00B96D1E"/>
    <w:rsid w:val="00B9767D"/>
    <w:rsid w:val="00BA71E1"/>
    <w:rsid w:val="00BA77C8"/>
    <w:rsid w:val="00BB0441"/>
    <w:rsid w:val="00BB69FB"/>
    <w:rsid w:val="00BB71B1"/>
    <w:rsid w:val="00BC19D6"/>
    <w:rsid w:val="00BC6696"/>
    <w:rsid w:val="00BC7ED1"/>
    <w:rsid w:val="00BD0075"/>
    <w:rsid w:val="00BD4240"/>
    <w:rsid w:val="00BD5065"/>
    <w:rsid w:val="00BE274E"/>
    <w:rsid w:val="00BF07DB"/>
    <w:rsid w:val="00BF1C49"/>
    <w:rsid w:val="00BF6465"/>
    <w:rsid w:val="00BF649A"/>
    <w:rsid w:val="00BF7734"/>
    <w:rsid w:val="00C01626"/>
    <w:rsid w:val="00C02221"/>
    <w:rsid w:val="00C058C8"/>
    <w:rsid w:val="00C06C9B"/>
    <w:rsid w:val="00C106CC"/>
    <w:rsid w:val="00C11C08"/>
    <w:rsid w:val="00C12604"/>
    <w:rsid w:val="00C1716A"/>
    <w:rsid w:val="00C2009A"/>
    <w:rsid w:val="00C20DD4"/>
    <w:rsid w:val="00C264A9"/>
    <w:rsid w:val="00C26561"/>
    <w:rsid w:val="00C26617"/>
    <w:rsid w:val="00C27424"/>
    <w:rsid w:val="00C3553F"/>
    <w:rsid w:val="00C4031A"/>
    <w:rsid w:val="00C432BF"/>
    <w:rsid w:val="00C50804"/>
    <w:rsid w:val="00C50900"/>
    <w:rsid w:val="00C60475"/>
    <w:rsid w:val="00C60A48"/>
    <w:rsid w:val="00C60C69"/>
    <w:rsid w:val="00C735E2"/>
    <w:rsid w:val="00C75452"/>
    <w:rsid w:val="00C81D08"/>
    <w:rsid w:val="00C87E54"/>
    <w:rsid w:val="00C95A33"/>
    <w:rsid w:val="00C96191"/>
    <w:rsid w:val="00CA7F10"/>
    <w:rsid w:val="00CB35A9"/>
    <w:rsid w:val="00CB6BA5"/>
    <w:rsid w:val="00CB6DD2"/>
    <w:rsid w:val="00CC1512"/>
    <w:rsid w:val="00CC1EA0"/>
    <w:rsid w:val="00CC3057"/>
    <w:rsid w:val="00CC4061"/>
    <w:rsid w:val="00CC5E48"/>
    <w:rsid w:val="00CC712B"/>
    <w:rsid w:val="00CD3EB7"/>
    <w:rsid w:val="00CD7B50"/>
    <w:rsid w:val="00CE4C34"/>
    <w:rsid w:val="00CE72D1"/>
    <w:rsid w:val="00CF7ED9"/>
    <w:rsid w:val="00D01D9D"/>
    <w:rsid w:val="00D03468"/>
    <w:rsid w:val="00D0450D"/>
    <w:rsid w:val="00D10E00"/>
    <w:rsid w:val="00D1255B"/>
    <w:rsid w:val="00D13A6A"/>
    <w:rsid w:val="00D15075"/>
    <w:rsid w:val="00D166B2"/>
    <w:rsid w:val="00D21B53"/>
    <w:rsid w:val="00D2229D"/>
    <w:rsid w:val="00D23733"/>
    <w:rsid w:val="00D24327"/>
    <w:rsid w:val="00D2537D"/>
    <w:rsid w:val="00D30686"/>
    <w:rsid w:val="00D32471"/>
    <w:rsid w:val="00D353EF"/>
    <w:rsid w:val="00D36307"/>
    <w:rsid w:val="00D36BCF"/>
    <w:rsid w:val="00D410EC"/>
    <w:rsid w:val="00D43283"/>
    <w:rsid w:val="00D52A3D"/>
    <w:rsid w:val="00D53183"/>
    <w:rsid w:val="00D5447C"/>
    <w:rsid w:val="00D56F86"/>
    <w:rsid w:val="00D600A2"/>
    <w:rsid w:val="00D60C60"/>
    <w:rsid w:val="00D62CD8"/>
    <w:rsid w:val="00D76C18"/>
    <w:rsid w:val="00D814F3"/>
    <w:rsid w:val="00D81B44"/>
    <w:rsid w:val="00D83A51"/>
    <w:rsid w:val="00D876B3"/>
    <w:rsid w:val="00D87C40"/>
    <w:rsid w:val="00D9067C"/>
    <w:rsid w:val="00D96969"/>
    <w:rsid w:val="00D97ADD"/>
    <w:rsid w:val="00DA04C0"/>
    <w:rsid w:val="00DA294E"/>
    <w:rsid w:val="00DA32B3"/>
    <w:rsid w:val="00DA3CF6"/>
    <w:rsid w:val="00DA4036"/>
    <w:rsid w:val="00DA6C33"/>
    <w:rsid w:val="00DB2D50"/>
    <w:rsid w:val="00DD12E1"/>
    <w:rsid w:val="00DE4FD1"/>
    <w:rsid w:val="00DE57B7"/>
    <w:rsid w:val="00DE6075"/>
    <w:rsid w:val="00DF3F95"/>
    <w:rsid w:val="00DF48AD"/>
    <w:rsid w:val="00E05F30"/>
    <w:rsid w:val="00E060ED"/>
    <w:rsid w:val="00E14052"/>
    <w:rsid w:val="00E148BB"/>
    <w:rsid w:val="00E1646E"/>
    <w:rsid w:val="00E21A7D"/>
    <w:rsid w:val="00E253B4"/>
    <w:rsid w:val="00E25BA1"/>
    <w:rsid w:val="00E30547"/>
    <w:rsid w:val="00E333CB"/>
    <w:rsid w:val="00E372F3"/>
    <w:rsid w:val="00E37FD3"/>
    <w:rsid w:val="00E40C8E"/>
    <w:rsid w:val="00E41BAE"/>
    <w:rsid w:val="00E477C5"/>
    <w:rsid w:val="00E51666"/>
    <w:rsid w:val="00E53B7D"/>
    <w:rsid w:val="00E53F11"/>
    <w:rsid w:val="00E546B1"/>
    <w:rsid w:val="00E54D5B"/>
    <w:rsid w:val="00E550CE"/>
    <w:rsid w:val="00E556D4"/>
    <w:rsid w:val="00E60885"/>
    <w:rsid w:val="00E6122A"/>
    <w:rsid w:val="00E61422"/>
    <w:rsid w:val="00E62BF9"/>
    <w:rsid w:val="00E650D1"/>
    <w:rsid w:val="00E654AF"/>
    <w:rsid w:val="00E711E1"/>
    <w:rsid w:val="00E71F66"/>
    <w:rsid w:val="00E74AD9"/>
    <w:rsid w:val="00E778E4"/>
    <w:rsid w:val="00E92E4B"/>
    <w:rsid w:val="00E93F33"/>
    <w:rsid w:val="00E9566E"/>
    <w:rsid w:val="00EA1D88"/>
    <w:rsid w:val="00EA36D0"/>
    <w:rsid w:val="00EA52C9"/>
    <w:rsid w:val="00EA62DD"/>
    <w:rsid w:val="00EA7090"/>
    <w:rsid w:val="00EA7F37"/>
    <w:rsid w:val="00EB1509"/>
    <w:rsid w:val="00EB271E"/>
    <w:rsid w:val="00EB29F8"/>
    <w:rsid w:val="00EC0FD2"/>
    <w:rsid w:val="00ED2347"/>
    <w:rsid w:val="00ED7284"/>
    <w:rsid w:val="00EE1E90"/>
    <w:rsid w:val="00EF1490"/>
    <w:rsid w:val="00EF48F2"/>
    <w:rsid w:val="00F02C1D"/>
    <w:rsid w:val="00F1238D"/>
    <w:rsid w:val="00F15F24"/>
    <w:rsid w:val="00F1793E"/>
    <w:rsid w:val="00F229FB"/>
    <w:rsid w:val="00F23E20"/>
    <w:rsid w:val="00F24848"/>
    <w:rsid w:val="00F24FE3"/>
    <w:rsid w:val="00F273C2"/>
    <w:rsid w:val="00F27F95"/>
    <w:rsid w:val="00F30540"/>
    <w:rsid w:val="00F32A53"/>
    <w:rsid w:val="00F35605"/>
    <w:rsid w:val="00F3742F"/>
    <w:rsid w:val="00F37452"/>
    <w:rsid w:val="00F43933"/>
    <w:rsid w:val="00F44C20"/>
    <w:rsid w:val="00F45826"/>
    <w:rsid w:val="00F50AE3"/>
    <w:rsid w:val="00F56F69"/>
    <w:rsid w:val="00F635D4"/>
    <w:rsid w:val="00F6420C"/>
    <w:rsid w:val="00F64853"/>
    <w:rsid w:val="00F65197"/>
    <w:rsid w:val="00F714DD"/>
    <w:rsid w:val="00F809A4"/>
    <w:rsid w:val="00F8141D"/>
    <w:rsid w:val="00F815B3"/>
    <w:rsid w:val="00F8494E"/>
    <w:rsid w:val="00F85F65"/>
    <w:rsid w:val="00F865AE"/>
    <w:rsid w:val="00F91EDF"/>
    <w:rsid w:val="00F928C1"/>
    <w:rsid w:val="00F94336"/>
    <w:rsid w:val="00F9662D"/>
    <w:rsid w:val="00FA0DC9"/>
    <w:rsid w:val="00FA3E6B"/>
    <w:rsid w:val="00FA66FA"/>
    <w:rsid w:val="00FA6BF9"/>
    <w:rsid w:val="00FB278F"/>
    <w:rsid w:val="00FB6302"/>
    <w:rsid w:val="00FC21A1"/>
    <w:rsid w:val="00FD1BB8"/>
    <w:rsid w:val="00FD2779"/>
    <w:rsid w:val="00FD4ADD"/>
    <w:rsid w:val="00FD4DD6"/>
    <w:rsid w:val="00FD6E72"/>
    <w:rsid w:val="00FE0048"/>
    <w:rsid w:val="00FE16BA"/>
    <w:rsid w:val="00FE4576"/>
    <w:rsid w:val="00FE610D"/>
    <w:rsid w:val="00FE78A0"/>
    <w:rsid w:val="00FF3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FC8"/>
    <w:pPr>
      <w:suppressAutoHyphens/>
    </w:pPr>
    <w:rPr>
      <w:sz w:val="24"/>
      <w:lang w:val="fr-FR" w:eastAsia="fr-FR"/>
    </w:rPr>
  </w:style>
  <w:style w:type="paragraph" w:styleId="Heading1">
    <w:name w:val="heading 1"/>
    <w:basedOn w:val="Normal"/>
    <w:next w:val="Normal"/>
    <w:qFormat/>
    <w:rsid w:val="00097FC8"/>
    <w:pPr>
      <w:keepNext/>
      <w:spacing w:before="360" w:after="240"/>
      <w:jc w:val="center"/>
      <w:outlineLvl w:val="0"/>
    </w:pPr>
    <w:rPr>
      <w:b/>
      <w:sz w:val="28"/>
    </w:rPr>
  </w:style>
  <w:style w:type="paragraph" w:styleId="Heading2">
    <w:name w:val="heading 2"/>
    <w:basedOn w:val="Normal"/>
    <w:next w:val="Normal"/>
    <w:qFormat/>
    <w:rsid w:val="00097FC8"/>
    <w:pPr>
      <w:keepNext/>
      <w:spacing w:before="240" w:after="120"/>
      <w:ind w:left="284" w:hanging="284"/>
      <w:outlineLvl w:val="1"/>
    </w:pPr>
    <w:rPr>
      <w:b/>
    </w:rPr>
  </w:style>
  <w:style w:type="paragraph" w:styleId="Heading3">
    <w:name w:val="heading 3"/>
    <w:basedOn w:val="Normal"/>
    <w:next w:val="Normal"/>
    <w:qFormat/>
    <w:rsid w:val="00097FC8"/>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097FC8"/>
  </w:style>
  <w:style w:type="table" w:default="1" w:styleId="TableNormal">
    <w:name w:val="Normal Table"/>
    <w:semiHidden/>
    <w:rsid w:val="00FD6E72"/>
    <w:tblPr>
      <w:tblInd w:w="0" w:type="dxa"/>
      <w:tblCellMar>
        <w:top w:w="0" w:type="dxa"/>
        <w:left w:w="108" w:type="dxa"/>
        <w:bottom w:w="0" w:type="dxa"/>
        <w:right w:w="108" w:type="dxa"/>
      </w:tblCellMar>
    </w:tblPr>
  </w:style>
  <w:style w:type="numbering" w:default="1" w:styleId="NoList">
    <w:name w:val="No List"/>
    <w:semiHidden/>
    <w:rsid w:val="00097FC8"/>
  </w:style>
  <w:style w:type="paragraph" w:customStyle="1" w:styleId="JuPara">
    <w:name w:val="Ju_Para"/>
    <w:aliases w:val="Left,First line:  0 cm"/>
    <w:basedOn w:val="Normal"/>
    <w:link w:val="JuParaCar"/>
    <w:rsid w:val="00097FC8"/>
    <w:pPr>
      <w:ind w:firstLine="284"/>
      <w:jc w:val="both"/>
    </w:pPr>
  </w:style>
  <w:style w:type="paragraph" w:customStyle="1" w:styleId="JuHIRoman">
    <w:name w:val="Ju_H_I_Roman"/>
    <w:basedOn w:val="JuHHead"/>
    <w:next w:val="JuPara"/>
    <w:link w:val="JuHIRomanChar"/>
    <w:rsid w:val="00097FC8"/>
    <w:pPr>
      <w:tabs>
        <w:tab w:val="left" w:pos="357"/>
      </w:tabs>
      <w:spacing w:before="360"/>
      <w:ind w:left="357" w:hanging="357"/>
      <w:outlineLvl w:val="1"/>
    </w:pPr>
    <w:rPr>
      <w:sz w:val="24"/>
    </w:rPr>
  </w:style>
  <w:style w:type="paragraph" w:customStyle="1" w:styleId="JuHHead">
    <w:name w:val="Ju_H_Head"/>
    <w:basedOn w:val="Normal"/>
    <w:next w:val="JuPara"/>
    <w:link w:val="JuHHeadChar"/>
    <w:rsid w:val="00097FC8"/>
    <w:pPr>
      <w:keepNext/>
      <w:keepLines/>
      <w:spacing w:before="720" w:after="240"/>
      <w:jc w:val="both"/>
      <w:outlineLvl w:val="0"/>
    </w:pPr>
    <w:rPr>
      <w:sz w:val="28"/>
    </w:rPr>
  </w:style>
  <w:style w:type="paragraph" w:styleId="Footer">
    <w:name w:val="footer"/>
    <w:basedOn w:val="Normal"/>
    <w:rsid w:val="00097FC8"/>
    <w:pPr>
      <w:tabs>
        <w:tab w:val="center" w:pos="3686"/>
        <w:tab w:val="right" w:pos="7371"/>
      </w:tabs>
    </w:pPr>
    <w:rPr>
      <w:sz w:val="18"/>
    </w:rPr>
  </w:style>
  <w:style w:type="paragraph" w:customStyle="1" w:styleId="JuJudges">
    <w:name w:val="Ju_Judges"/>
    <w:basedOn w:val="Normal"/>
    <w:link w:val="JuJudgesChar"/>
    <w:rsid w:val="00097FC8"/>
    <w:pPr>
      <w:tabs>
        <w:tab w:val="left" w:pos="567"/>
        <w:tab w:val="left" w:pos="1134"/>
      </w:tabs>
    </w:pPr>
  </w:style>
  <w:style w:type="character" w:customStyle="1" w:styleId="JuNames">
    <w:name w:val="Ju_Names"/>
    <w:rsid w:val="00097FC8"/>
    <w:rPr>
      <w:smallCaps/>
    </w:rPr>
  </w:style>
  <w:style w:type="paragraph" w:customStyle="1" w:styleId="JuHA">
    <w:name w:val="Ju_H_A"/>
    <w:basedOn w:val="JuHIRoman"/>
    <w:next w:val="JuPara"/>
    <w:link w:val="JuHAChar"/>
    <w:rsid w:val="00097FC8"/>
    <w:pPr>
      <w:tabs>
        <w:tab w:val="clear" w:pos="357"/>
        <w:tab w:val="left" w:pos="584"/>
      </w:tabs>
      <w:ind w:left="584" w:hanging="352"/>
      <w:outlineLvl w:val="2"/>
    </w:pPr>
    <w:rPr>
      <w:b/>
    </w:rPr>
  </w:style>
  <w:style w:type="paragraph" w:customStyle="1" w:styleId="JuQuot">
    <w:name w:val="Ju_Quot"/>
    <w:basedOn w:val="JuPara"/>
    <w:rsid w:val="00097FC8"/>
    <w:pPr>
      <w:spacing w:before="120" w:after="120"/>
      <w:ind w:left="425" w:firstLine="142"/>
    </w:pPr>
    <w:rPr>
      <w:sz w:val="20"/>
    </w:rPr>
  </w:style>
  <w:style w:type="paragraph" w:customStyle="1" w:styleId="JuSigned">
    <w:name w:val="Ju_Signed"/>
    <w:basedOn w:val="Normal"/>
    <w:next w:val="JuParaLast"/>
    <w:rsid w:val="00097FC8"/>
    <w:pPr>
      <w:tabs>
        <w:tab w:val="center" w:pos="851"/>
        <w:tab w:val="center" w:pos="6407"/>
      </w:tabs>
      <w:spacing w:before="720"/>
    </w:pPr>
  </w:style>
  <w:style w:type="paragraph" w:customStyle="1" w:styleId="JuParaLast">
    <w:name w:val="Ju_Para_Last"/>
    <w:basedOn w:val="JuPara"/>
    <w:next w:val="JuPara"/>
    <w:rsid w:val="00097FC8"/>
    <w:pPr>
      <w:keepNext/>
      <w:keepLines/>
      <w:spacing w:before="240"/>
    </w:pPr>
  </w:style>
  <w:style w:type="paragraph" w:customStyle="1" w:styleId="JuCase">
    <w:name w:val="Ju_Case"/>
    <w:basedOn w:val="JuPara"/>
    <w:next w:val="JuPara"/>
    <w:rsid w:val="00097FC8"/>
    <w:rPr>
      <w:b/>
    </w:rPr>
  </w:style>
  <w:style w:type="paragraph" w:customStyle="1" w:styleId="JuList">
    <w:name w:val="Ju_List"/>
    <w:basedOn w:val="JuPara"/>
    <w:rsid w:val="00097FC8"/>
    <w:pPr>
      <w:ind w:left="340" w:hanging="340"/>
    </w:pPr>
  </w:style>
  <w:style w:type="paragraph" w:customStyle="1" w:styleId="JuHArticle">
    <w:name w:val="Ju_H_Article"/>
    <w:basedOn w:val="JuHa0"/>
    <w:next w:val="JuQuot"/>
    <w:link w:val="JuHArticleChar"/>
    <w:rsid w:val="00097FC8"/>
    <w:pPr>
      <w:ind w:left="0" w:firstLine="0"/>
      <w:jc w:val="center"/>
    </w:pPr>
  </w:style>
  <w:style w:type="paragraph" w:customStyle="1" w:styleId="JuHa0">
    <w:name w:val="Ju_H_a"/>
    <w:basedOn w:val="JuH1"/>
    <w:next w:val="JuPara"/>
    <w:link w:val="JuHaChar0"/>
    <w:rsid w:val="00097FC8"/>
    <w:pPr>
      <w:tabs>
        <w:tab w:val="clear" w:pos="731"/>
        <w:tab w:val="left" w:pos="975"/>
      </w:tabs>
      <w:ind w:left="975" w:hanging="340"/>
      <w:outlineLvl w:val="9"/>
    </w:pPr>
    <w:rPr>
      <w:b/>
      <w:i w:val="0"/>
      <w:sz w:val="20"/>
    </w:rPr>
  </w:style>
  <w:style w:type="paragraph" w:customStyle="1" w:styleId="JuH1">
    <w:name w:val="Ju_H_1."/>
    <w:basedOn w:val="JuHA"/>
    <w:next w:val="JuPara"/>
    <w:link w:val="JuH1Char"/>
    <w:rsid w:val="00097FC8"/>
    <w:pPr>
      <w:tabs>
        <w:tab w:val="clear" w:pos="584"/>
        <w:tab w:val="left" w:pos="731"/>
      </w:tabs>
      <w:spacing w:before="240" w:after="120"/>
      <w:ind w:left="732" w:hanging="301"/>
      <w:outlineLvl w:val="3"/>
    </w:pPr>
    <w:rPr>
      <w:b w:val="0"/>
      <w:i/>
    </w:rPr>
  </w:style>
  <w:style w:type="paragraph" w:styleId="CommentSubject">
    <w:name w:val="annotation subject"/>
    <w:basedOn w:val="CommentText"/>
    <w:next w:val="CommentText"/>
    <w:semiHidden/>
    <w:rsid w:val="00FD2779"/>
    <w:rPr>
      <w:b/>
      <w:bCs/>
    </w:rPr>
  </w:style>
  <w:style w:type="paragraph" w:styleId="CommentText">
    <w:name w:val="annotation text"/>
    <w:basedOn w:val="Normal"/>
    <w:semiHidden/>
    <w:rPr>
      <w:sz w:val="20"/>
    </w:rPr>
  </w:style>
  <w:style w:type="paragraph" w:customStyle="1" w:styleId="JuCourt">
    <w:name w:val="Ju_Court"/>
    <w:basedOn w:val="JuJudges"/>
    <w:rsid w:val="00097FC8"/>
    <w:pPr>
      <w:tabs>
        <w:tab w:val="clear" w:pos="567"/>
        <w:tab w:val="clear" w:pos="1134"/>
        <w:tab w:val="left" w:pos="907"/>
        <w:tab w:val="left" w:pos="1701"/>
        <w:tab w:val="right" w:pos="7371"/>
      </w:tabs>
      <w:spacing w:before="240"/>
      <w:ind w:left="397" w:hanging="397"/>
    </w:pPr>
  </w:style>
  <w:style w:type="paragraph" w:customStyle="1" w:styleId="OpiHHead">
    <w:name w:val="Opi_H_Head"/>
    <w:basedOn w:val="JuHHead"/>
    <w:next w:val="OpiPara"/>
    <w:rsid w:val="00097FC8"/>
    <w:pPr>
      <w:spacing w:before="0"/>
      <w:jc w:val="center"/>
    </w:pPr>
  </w:style>
  <w:style w:type="paragraph" w:customStyle="1" w:styleId="OpiPara">
    <w:name w:val="Opi_Para"/>
    <w:basedOn w:val="JuPara"/>
    <w:rsid w:val="00097FC8"/>
  </w:style>
  <w:style w:type="paragraph" w:customStyle="1" w:styleId="OpiTranslation">
    <w:name w:val="Opi_Translation"/>
    <w:basedOn w:val="OpiHHead"/>
    <w:next w:val="OpiPara"/>
    <w:rsid w:val="00097FC8"/>
    <w:rPr>
      <w:i/>
      <w:sz w:val="24"/>
    </w:rPr>
  </w:style>
  <w:style w:type="paragraph" w:customStyle="1" w:styleId="OpiQuot">
    <w:name w:val="Opi_Quot"/>
    <w:basedOn w:val="JuQuot"/>
    <w:rsid w:val="00097FC8"/>
  </w:style>
  <w:style w:type="paragraph" w:customStyle="1" w:styleId="OpiHA">
    <w:name w:val="Opi_H_A"/>
    <w:basedOn w:val="JuHIRoman"/>
    <w:next w:val="OpiPara"/>
    <w:rsid w:val="00097FC8"/>
    <w:pPr>
      <w:tabs>
        <w:tab w:val="clear" w:pos="357"/>
      </w:tabs>
    </w:pPr>
    <w:rPr>
      <w:b/>
    </w:rPr>
  </w:style>
  <w:style w:type="paragraph" w:customStyle="1" w:styleId="OpiH1">
    <w:name w:val="Opi_H_1."/>
    <w:basedOn w:val="OpiHA"/>
    <w:next w:val="OpiPara"/>
    <w:rsid w:val="00097FC8"/>
    <w:pPr>
      <w:spacing w:before="240" w:after="120"/>
      <w:ind w:left="635"/>
    </w:pPr>
    <w:rPr>
      <w:b w:val="0"/>
      <w:i/>
    </w:rPr>
  </w:style>
  <w:style w:type="paragraph" w:styleId="FootnoteText">
    <w:name w:val="footnote text"/>
    <w:basedOn w:val="Normal"/>
    <w:semiHidden/>
    <w:rsid w:val="00097FC8"/>
    <w:pPr>
      <w:jc w:val="both"/>
    </w:pPr>
    <w:rPr>
      <w:sz w:val="20"/>
    </w:rPr>
  </w:style>
  <w:style w:type="character" w:styleId="FootnoteReference">
    <w:name w:val="footnote reference"/>
    <w:semiHidden/>
    <w:rsid w:val="00097FC8"/>
    <w:rPr>
      <w:vertAlign w:val="superscript"/>
    </w:rPr>
  </w:style>
  <w:style w:type="paragraph" w:customStyle="1" w:styleId="JuHi">
    <w:name w:val="Ju_H_i"/>
    <w:basedOn w:val="JuHa0"/>
    <w:next w:val="JuPara"/>
    <w:rsid w:val="00097FC8"/>
    <w:pPr>
      <w:tabs>
        <w:tab w:val="clear" w:pos="975"/>
        <w:tab w:val="left" w:pos="1191"/>
      </w:tabs>
      <w:ind w:left="1190" w:hanging="357"/>
    </w:pPr>
    <w:rPr>
      <w:b w:val="0"/>
      <w:i/>
    </w:rPr>
  </w:style>
  <w:style w:type="paragraph" w:styleId="Header">
    <w:name w:val="header"/>
    <w:basedOn w:val="Normal"/>
    <w:rsid w:val="00097FC8"/>
    <w:pPr>
      <w:tabs>
        <w:tab w:val="center" w:pos="3686"/>
        <w:tab w:val="right" w:pos="7371"/>
      </w:tabs>
    </w:pPr>
    <w:rPr>
      <w:sz w:val="18"/>
    </w:rPr>
  </w:style>
  <w:style w:type="character" w:styleId="PageNumber">
    <w:name w:val="page number"/>
    <w:rsid w:val="00097FC8"/>
    <w:rPr>
      <w:sz w:val="18"/>
    </w:rPr>
  </w:style>
  <w:style w:type="paragraph" w:customStyle="1" w:styleId="JuLista">
    <w:name w:val="Ju_List_a"/>
    <w:basedOn w:val="JuList"/>
    <w:rsid w:val="00097FC8"/>
    <w:pPr>
      <w:ind w:left="346" w:firstLine="0"/>
    </w:pPr>
  </w:style>
  <w:style w:type="paragraph" w:customStyle="1" w:styleId="JuHalpha">
    <w:name w:val="Ju_H_alpha"/>
    <w:basedOn w:val="JuHi"/>
    <w:next w:val="JuPara"/>
    <w:rsid w:val="00097FC8"/>
    <w:pPr>
      <w:tabs>
        <w:tab w:val="clear" w:pos="1191"/>
        <w:tab w:val="left" w:pos="1372"/>
      </w:tabs>
      <w:ind w:left="1373" w:hanging="335"/>
    </w:pPr>
    <w:rPr>
      <w:i w:val="0"/>
    </w:rPr>
  </w:style>
  <w:style w:type="paragraph" w:customStyle="1" w:styleId="JuListi">
    <w:name w:val="Ju_List_i"/>
    <w:basedOn w:val="JuLista"/>
    <w:rsid w:val="00097FC8"/>
    <w:pPr>
      <w:ind w:left="794"/>
    </w:pPr>
  </w:style>
  <w:style w:type="paragraph" w:customStyle="1" w:styleId="OpiHa0">
    <w:name w:val="Opi_H_a"/>
    <w:basedOn w:val="OpiH1"/>
    <w:next w:val="OpiPara"/>
    <w:rsid w:val="00097FC8"/>
    <w:pPr>
      <w:ind w:left="834"/>
    </w:pPr>
    <w:rPr>
      <w:b/>
      <w:i w:val="0"/>
      <w:sz w:val="20"/>
    </w:rPr>
  </w:style>
  <w:style w:type="paragraph" w:customStyle="1" w:styleId="OpiHi">
    <w:name w:val="Opi_H_i"/>
    <w:basedOn w:val="OpiHa0"/>
    <w:next w:val="OpiPara"/>
    <w:rsid w:val="00097FC8"/>
    <w:pPr>
      <w:ind w:left="1038"/>
    </w:pPr>
    <w:rPr>
      <w:b w:val="0"/>
      <w:i/>
    </w:rPr>
  </w:style>
  <w:style w:type="paragraph" w:customStyle="1" w:styleId="JuH">
    <w:name w:val="Ju_H_–"/>
    <w:basedOn w:val="JuHalpha"/>
    <w:next w:val="JuPara"/>
    <w:rsid w:val="00097FC8"/>
    <w:pPr>
      <w:tabs>
        <w:tab w:val="clear" w:pos="1372"/>
      </w:tabs>
      <w:ind w:left="1236" w:firstLine="0"/>
    </w:pPr>
    <w:rPr>
      <w:i/>
    </w:rPr>
  </w:style>
  <w:style w:type="character" w:styleId="CommentReference">
    <w:name w:val="annotation reference"/>
    <w:semiHidden/>
    <w:rPr>
      <w:sz w:val="16"/>
    </w:rPr>
  </w:style>
  <w:style w:type="paragraph" w:customStyle="1" w:styleId="JuInitialled">
    <w:name w:val="Ju_Initialled"/>
    <w:basedOn w:val="JuSigned"/>
    <w:rsid w:val="00097FC8"/>
    <w:pPr>
      <w:tabs>
        <w:tab w:val="clear" w:pos="851"/>
      </w:tabs>
      <w:jc w:val="right"/>
    </w:pPr>
  </w:style>
  <w:style w:type="paragraph" w:customStyle="1" w:styleId="JuHeader">
    <w:name w:val="Ju_Header"/>
    <w:basedOn w:val="Header"/>
    <w:rsid w:val="00097FC8"/>
  </w:style>
  <w:style w:type="paragraph" w:customStyle="1" w:styleId="DecHTitle">
    <w:name w:val="Dec_H_Title"/>
    <w:basedOn w:val="Normal"/>
    <w:rsid w:val="00097FC8"/>
    <w:pPr>
      <w:spacing w:after="240"/>
      <w:jc w:val="center"/>
    </w:pPr>
    <w:rPr>
      <w:sz w:val="28"/>
    </w:rPr>
  </w:style>
  <w:style w:type="paragraph" w:customStyle="1" w:styleId="DecHCase">
    <w:name w:val="Dec_H_Case"/>
    <w:basedOn w:val="DecHTitle"/>
    <w:next w:val="JuPara"/>
    <w:rsid w:val="00097FC8"/>
    <w:rPr>
      <w:sz w:val="24"/>
    </w:rPr>
  </w:style>
  <w:style w:type="paragraph" w:customStyle="1" w:styleId="DecList">
    <w:name w:val="Dec_List"/>
    <w:basedOn w:val="Normal"/>
    <w:rsid w:val="00097FC8"/>
    <w:pPr>
      <w:spacing w:before="240"/>
      <w:ind w:left="284"/>
      <w:jc w:val="both"/>
    </w:pPr>
  </w:style>
  <w:style w:type="paragraph" w:customStyle="1" w:styleId="SuCoverTitle1">
    <w:name w:val="Su_Cover_Title1"/>
    <w:basedOn w:val="Normal"/>
    <w:next w:val="SuCoverTitle2"/>
    <w:rsid w:val="00097FC8"/>
    <w:pPr>
      <w:spacing w:before="2500"/>
      <w:jc w:val="center"/>
    </w:pPr>
    <w:rPr>
      <w:sz w:val="22"/>
    </w:rPr>
  </w:style>
  <w:style w:type="paragraph" w:customStyle="1" w:styleId="SuCoverTitle2">
    <w:name w:val="Su_Cover_Title2"/>
    <w:basedOn w:val="SuCoverTitle1"/>
    <w:next w:val="Normal"/>
    <w:rsid w:val="00097FC8"/>
    <w:pPr>
      <w:spacing w:before="240"/>
    </w:pPr>
    <w:rPr>
      <w:sz w:val="18"/>
    </w:rPr>
  </w:style>
  <w:style w:type="paragraph" w:customStyle="1" w:styleId="JuQuotSub">
    <w:name w:val="Ju_Quot_Sub"/>
    <w:basedOn w:val="JuQuot"/>
    <w:rsid w:val="00097FC8"/>
    <w:pPr>
      <w:ind w:left="567"/>
    </w:pPr>
  </w:style>
  <w:style w:type="paragraph" w:customStyle="1" w:styleId="JuParaSub">
    <w:name w:val="Ju_Para_Sub"/>
    <w:basedOn w:val="JuPara"/>
    <w:rsid w:val="00097FC8"/>
    <w:pPr>
      <w:ind w:left="284"/>
    </w:pPr>
  </w:style>
  <w:style w:type="paragraph" w:customStyle="1" w:styleId="SuPara">
    <w:name w:val="Su_Para"/>
    <w:basedOn w:val="SuKeywords"/>
    <w:rsid w:val="00097FC8"/>
    <w:pPr>
      <w:spacing w:before="0" w:after="0"/>
    </w:pPr>
    <w:rPr>
      <w:i w:val="0"/>
    </w:rPr>
  </w:style>
  <w:style w:type="paragraph" w:customStyle="1" w:styleId="SuKeywords">
    <w:name w:val="Su_Keywords"/>
    <w:basedOn w:val="SuHHead"/>
    <w:rsid w:val="00097FC8"/>
    <w:pPr>
      <w:spacing w:before="120"/>
    </w:pPr>
    <w:rPr>
      <w:b w:val="0"/>
      <w:i/>
    </w:rPr>
  </w:style>
  <w:style w:type="paragraph" w:customStyle="1" w:styleId="SuHHead">
    <w:name w:val="Su_H_Head"/>
    <w:basedOn w:val="SuSubject"/>
    <w:rsid w:val="00097FC8"/>
    <w:pPr>
      <w:spacing w:after="120"/>
    </w:pPr>
  </w:style>
  <w:style w:type="paragraph" w:customStyle="1" w:styleId="SuSubject">
    <w:name w:val="Su_Subject"/>
    <w:basedOn w:val="SuSummary"/>
    <w:rsid w:val="00097FC8"/>
    <w:pPr>
      <w:spacing w:before="360"/>
      <w:jc w:val="both"/>
    </w:pPr>
    <w:rPr>
      <w:b/>
      <w:sz w:val="22"/>
    </w:rPr>
  </w:style>
  <w:style w:type="paragraph" w:customStyle="1" w:styleId="SuSummary">
    <w:name w:val="Su_Summary"/>
    <w:basedOn w:val="Normal"/>
    <w:next w:val="SuSubject"/>
    <w:rsid w:val="00097FC8"/>
    <w:pPr>
      <w:spacing w:after="240"/>
      <w:jc w:val="center"/>
    </w:pPr>
  </w:style>
  <w:style w:type="paragraph" w:styleId="BalloonText">
    <w:name w:val="Balloon Text"/>
    <w:basedOn w:val="Normal"/>
    <w:semiHidden/>
    <w:rsid w:val="006C5B9E"/>
    <w:rPr>
      <w:rFonts w:ascii="Tahoma" w:hAnsi="Tahoma" w:cs="Tahoma"/>
      <w:sz w:val="16"/>
      <w:szCs w:val="16"/>
    </w:rPr>
  </w:style>
  <w:style w:type="paragraph" w:customStyle="1" w:styleId="PJuPara">
    <w:name w:val="P_Ju_Para"/>
    <w:basedOn w:val="Normal"/>
    <w:rsid w:val="00097FC8"/>
    <w:pPr>
      <w:ind w:firstLine="284"/>
      <w:jc w:val="both"/>
    </w:pPr>
  </w:style>
  <w:style w:type="paragraph" w:customStyle="1" w:styleId="PJuQuot">
    <w:name w:val="P_Ju_Quot"/>
    <w:basedOn w:val="Normal"/>
    <w:rsid w:val="00097FC8"/>
    <w:pPr>
      <w:spacing w:before="120" w:after="120"/>
      <w:ind w:left="403" w:firstLine="176"/>
      <w:jc w:val="both"/>
    </w:pPr>
    <w:rPr>
      <w:sz w:val="20"/>
    </w:rPr>
  </w:style>
  <w:style w:type="paragraph" w:customStyle="1" w:styleId="PListArticleSubject">
    <w:name w:val="P_List_ArticleSubject"/>
    <w:basedOn w:val="Normal"/>
    <w:rsid w:val="00097FC8"/>
    <w:pPr>
      <w:tabs>
        <w:tab w:val="left" w:pos="2977"/>
      </w:tabs>
      <w:ind w:left="2977" w:hanging="2977"/>
    </w:pPr>
  </w:style>
  <w:style w:type="paragraph" w:customStyle="1" w:styleId="PListCaseNo">
    <w:name w:val="P_List_CaseNo"/>
    <w:basedOn w:val="Normal"/>
    <w:rsid w:val="00097FC8"/>
    <w:pPr>
      <w:tabs>
        <w:tab w:val="left" w:pos="1276"/>
      </w:tabs>
      <w:spacing w:line="288" w:lineRule="auto"/>
      <w:ind w:left="1276" w:hanging="1276"/>
    </w:pPr>
  </w:style>
  <w:style w:type="paragraph" w:customStyle="1" w:styleId="PListCases">
    <w:name w:val="P_List_Cases"/>
    <w:basedOn w:val="Normal"/>
    <w:rsid w:val="00097FC8"/>
    <w:pPr>
      <w:spacing w:line="288" w:lineRule="auto"/>
    </w:pPr>
  </w:style>
  <w:style w:type="paragraph" w:customStyle="1" w:styleId="PTextIntro">
    <w:name w:val="P_Text_Intro"/>
    <w:basedOn w:val="Normal"/>
    <w:rsid w:val="00097FC8"/>
    <w:pPr>
      <w:jc w:val="both"/>
    </w:pPr>
    <w:rPr>
      <w:i/>
      <w:sz w:val="20"/>
    </w:rPr>
  </w:style>
  <w:style w:type="paragraph" w:customStyle="1" w:styleId="PTitleCover">
    <w:name w:val="P_Title_Cover"/>
    <w:basedOn w:val="Normal"/>
    <w:rsid w:val="00097FC8"/>
    <w:pPr>
      <w:spacing w:before="2500"/>
      <w:jc w:val="center"/>
    </w:pPr>
    <w:rPr>
      <w:b/>
      <w:smallCaps/>
      <w:sz w:val="30"/>
    </w:rPr>
  </w:style>
  <w:style w:type="paragraph" w:customStyle="1" w:styleId="PTitle1Alpha">
    <w:name w:val="P_Title1_Alpha"/>
    <w:basedOn w:val="Normal"/>
    <w:next w:val="Normal"/>
    <w:rsid w:val="00097FC8"/>
    <w:pPr>
      <w:spacing w:after="120"/>
      <w:jc w:val="center"/>
    </w:pPr>
    <w:rPr>
      <w:b/>
      <w:smallCaps/>
      <w:sz w:val="30"/>
    </w:rPr>
  </w:style>
  <w:style w:type="paragraph" w:customStyle="1" w:styleId="PTitle1IndexArticle">
    <w:name w:val="P_Title1_IndexArticle"/>
    <w:basedOn w:val="Normal"/>
    <w:rsid w:val="00097FC8"/>
    <w:pPr>
      <w:spacing w:after="120"/>
      <w:jc w:val="center"/>
    </w:pPr>
    <w:rPr>
      <w:b/>
      <w:smallCaps/>
      <w:sz w:val="30"/>
    </w:rPr>
  </w:style>
  <w:style w:type="paragraph" w:customStyle="1" w:styleId="PTitle1IndexKey">
    <w:name w:val="P_Title1_IndexKey"/>
    <w:basedOn w:val="Normal"/>
    <w:rsid w:val="00097FC8"/>
    <w:pPr>
      <w:spacing w:after="600"/>
      <w:jc w:val="center"/>
    </w:pPr>
    <w:rPr>
      <w:b/>
      <w:smallCaps/>
      <w:sz w:val="30"/>
      <w:lang w:val="en-GB"/>
    </w:rPr>
  </w:style>
  <w:style w:type="paragraph" w:customStyle="1" w:styleId="PTitle1Num">
    <w:name w:val="P_Title1_Num"/>
    <w:basedOn w:val="Normal"/>
    <w:next w:val="PListCaseNo"/>
    <w:rsid w:val="00097FC8"/>
    <w:pPr>
      <w:spacing w:after="720"/>
      <w:jc w:val="center"/>
    </w:pPr>
    <w:rPr>
      <w:b/>
      <w:smallCaps/>
      <w:sz w:val="30"/>
    </w:rPr>
  </w:style>
  <w:style w:type="paragraph" w:customStyle="1" w:styleId="PTitle2Country">
    <w:name w:val="P_Title2_Country"/>
    <w:basedOn w:val="Normal"/>
    <w:next w:val="PListCases"/>
    <w:rsid w:val="00097FC8"/>
    <w:pPr>
      <w:keepNext/>
      <w:keepLines/>
      <w:spacing w:before="600" w:after="360"/>
    </w:pPr>
    <w:rPr>
      <w:b/>
    </w:rPr>
  </w:style>
  <w:style w:type="paragraph" w:customStyle="1" w:styleId="PTitle2Letters">
    <w:name w:val="P_Title2_Letters"/>
    <w:basedOn w:val="Normal"/>
    <w:next w:val="PListCases"/>
    <w:rsid w:val="00097FC8"/>
    <w:pPr>
      <w:keepNext/>
      <w:keepLines/>
      <w:spacing w:before="600" w:after="360"/>
    </w:pPr>
    <w:rPr>
      <w:b/>
      <w:sz w:val="28"/>
    </w:rPr>
  </w:style>
  <w:style w:type="paragraph" w:customStyle="1" w:styleId="PTitle2Part">
    <w:name w:val="P_Title2_Part"/>
    <w:basedOn w:val="Normal"/>
    <w:rsid w:val="00097FC8"/>
    <w:pPr>
      <w:keepNext/>
      <w:keepLines/>
      <w:spacing w:before="600" w:after="240"/>
      <w:jc w:val="center"/>
    </w:pPr>
    <w:rPr>
      <w:b/>
      <w:caps/>
    </w:rPr>
  </w:style>
  <w:style w:type="paragraph" w:customStyle="1" w:styleId="PTitle3Article">
    <w:name w:val="P_Title3_Article"/>
    <w:basedOn w:val="Normal"/>
    <w:rsid w:val="00097FC8"/>
    <w:pPr>
      <w:keepNext/>
      <w:keepLines/>
      <w:spacing w:before="360" w:after="120"/>
      <w:jc w:val="center"/>
    </w:pPr>
    <w:rPr>
      <w:b/>
      <w:smallCaps/>
      <w:sz w:val="22"/>
    </w:rPr>
  </w:style>
  <w:style w:type="paragraph" w:customStyle="1" w:styleId="PTitle4ArticleSub">
    <w:name w:val="P_Title4_Article_Sub"/>
    <w:basedOn w:val="PTitle3Article"/>
    <w:rsid w:val="00097FC8"/>
    <w:pPr>
      <w:spacing w:before="240"/>
    </w:pPr>
    <w:rPr>
      <w:smallCaps w:val="0"/>
      <w:sz w:val="20"/>
    </w:rPr>
  </w:style>
  <w:style w:type="paragraph" w:customStyle="1" w:styleId="PTitle5Subject">
    <w:name w:val="P_Title5_Subject"/>
    <w:basedOn w:val="Normal"/>
    <w:rsid w:val="00097FC8"/>
    <w:pPr>
      <w:keepNext/>
      <w:keepLines/>
      <w:spacing w:before="240" w:after="120"/>
      <w:jc w:val="both"/>
    </w:pPr>
    <w:rPr>
      <w:b/>
      <w:i/>
    </w:rPr>
  </w:style>
  <w:style w:type="paragraph" w:customStyle="1" w:styleId="PTitle6SubjectSub">
    <w:name w:val="P_Title6_Subject_Sub"/>
    <w:basedOn w:val="Normal"/>
    <w:rsid w:val="00097FC8"/>
    <w:pPr>
      <w:keepNext/>
      <w:keepLines/>
      <w:spacing w:before="240" w:after="120"/>
      <w:ind w:left="284"/>
      <w:jc w:val="both"/>
    </w:pPr>
    <w:rPr>
      <w:b/>
      <w:sz w:val="20"/>
    </w:rPr>
  </w:style>
  <w:style w:type="paragraph" w:customStyle="1" w:styleId="PTitle7CaseName">
    <w:name w:val="P_Title7_CaseName"/>
    <w:basedOn w:val="Normal"/>
    <w:rsid w:val="00097FC8"/>
    <w:pPr>
      <w:keepLines/>
      <w:spacing w:after="240"/>
      <w:jc w:val="right"/>
    </w:pPr>
    <w:rPr>
      <w:sz w:val="22"/>
    </w:rPr>
  </w:style>
  <w:style w:type="paragraph" w:customStyle="1" w:styleId="OpiParaSub">
    <w:name w:val="Opi_Para_Sub"/>
    <w:basedOn w:val="JuParaSub"/>
    <w:rsid w:val="00097FC8"/>
  </w:style>
  <w:style w:type="paragraph" w:customStyle="1" w:styleId="OpiQuotSub">
    <w:name w:val="Opi_Quot_Sub"/>
    <w:basedOn w:val="JuQuotSub"/>
    <w:rsid w:val="00097FC8"/>
  </w:style>
  <w:style w:type="paragraph" w:customStyle="1" w:styleId="LtrClosing">
    <w:name w:val="Ltr_Closing"/>
    <w:basedOn w:val="Normal"/>
    <w:rsid w:val="00A15A08"/>
    <w:pPr>
      <w:keepNext/>
      <w:keepLines/>
      <w:tabs>
        <w:tab w:val="left" w:pos="567"/>
      </w:tabs>
      <w:suppressAutoHyphens w:val="0"/>
    </w:pPr>
    <w:rPr>
      <w:lang w:val="en-GB" w:eastAsia="en-US"/>
    </w:rPr>
  </w:style>
  <w:style w:type="character" w:customStyle="1" w:styleId="JuJudgesChar">
    <w:name w:val="Ju_Judges Char"/>
    <w:link w:val="JuJudges"/>
    <w:rsid w:val="0044259D"/>
    <w:rPr>
      <w:sz w:val="24"/>
      <w:lang w:val="fr-FR" w:eastAsia="fr-FR" w:bidi="ar-SA"/>
    </w:rPr>
  </w:style>
  <w:style w:type="character" w:customStyle="1" w:styleId="JuParaCar">
    <w:name w:val="Ju_Para Car"/>
    <w:link w:val="JuPara"/>
    <w:rsid w:val="00723136"/>
    <w:rPr>
      <w:sz w:val="24"/>
      <w:lang w:val="fr-FR" w:eastAsia="fr-FR" w:bidi="ar-SA"/>
    </w:rPr>
  </w:style>
  <w:style w:type="character" w:styleId="Hyperlink">
    <w:name w:val="Hyperlink"/>
    <w:rsid w:val="00BB71B1"/>
    <w:rPr>
      <w:color w:val="0000FF"/>
      <w:u w:val="single"/>
    </w:rPr>
  </w:style>
  <w:style w:type="character" w:styleId="Strong">
    <w:name w:val="Strong"/>
    <w:qFormat/>
    <w:rsid w:val="00B876F5"/>
    <w:rPr>
      <w:b/>
      <w:bCs/>
    </w:rPr>
  </w:style>
  <w:style w:type="paragraph" w:styleId="DocumentMap">
    <w:name w:val="Document Map"/>
    <w:basedOn w:val="Normal"/>
    <w:semiHidden/>
    <w:rsid w:val="00985E74"/>
    <w:pPr>
      <w:shd w:val="clear" w:color="auto" w:fill="000080"/>
    </w:pPr>
    <w:rPr>
      <w:rFonts w:ascii="Tahoma" w:hAnsi="Tahoma" w:cs="Tahoma"/>
      <w:sz w:val="20"/>
    </w:rPr>
  </w:style>
  <w:style w:type="paragraph" w:customStyle="1" w:styleId="AppQuestion">
    <w:name w:val="App_Question"/>
    <w:basedOn w:val="ListBullet"/>
    <w:rsid w:val="00097FC8"/>
    <w:pPr>
      <w:numPr>
        <w:numId w:val="11"/>
      </w:numPr>
    </w:pPr>
    <w:rPr>
      <w:b/>
      <w:color w:val="333333"/>
      <w:lang w:val="en-GB"/>
    </w:rPr>
  </w:style>
  <w:style w:type="paragraph" w:styleId="ListBullet">
    <w:name w:val="List Bullet"/>
    <w:basedOn w:val="Normal"/>
    <w:rsid w:val="00097FC8"/>
    <w:pPr>
      <w:numPr>
        <w:numId w:val="1"/>
      </w:numPr>
    </w:pPr>
  </w:style>
  <w:style w:type="character" w:styleId="Emphasis">
    <w:name w:val="Emphasis"/>
    <w:qFormat/>
    <w:rsid w:val="002F42ED"/>
    <w:rPr>
      <w:i/>
      <w:iCs/>
    </w:rPr>
  </w:style>
  <w:style w:type="character" w:customStyle="1" w:styleId="JuHHeadChar">
    <w:name w:val="Ju_H_Head Char"/>
    <w:link w:val="JuHHead"/>
    <w:rsid w:val="00E25BA1"/>
    <w:rPr>
      <w:sz w:val="28"/>
      <w:lang w:val="fr-FR" w:eastAsia="fr-FR" w:bidi="ar-SA"/>
    </w:rPr>
  </w:style>
  <w:style w:type="character" w:customStyle="1" w:styleId="JuHIRomanChar">
    <w:name w:val="Ju_H_I_Roman Char"/>
    <w:link w:val="JuHIRoman"/>
    <w:rsid w:val="00E25BA1"/>
    <w:rPr>
      <w:sz w:val="24"/>
      <w:lang w:val="fr-FR" w:eastAsia="fr-FR" w:bidi="ar-SA"/>
    </w:rPr>
  </w:style>
  <w:style w:type="character" w:customStyle="1" w:styleId="JuHAChar">
    <w:name w:val="Ju_H_A Char"/>
    <w:link w:val="JuHA"/>
    <w:rsid w:val="00E25BA1"/>
    <w:rPr>
      <w:b/>
      <w:sz w:val="24"/>
      <w:lang w:val="fr-FR" w:eastAsia="fr-FR" w:bidi="ar-SA"/>
    </w:rPr>
  </w:style>
  <w:style w:type="character" w:customStyle="1" w:styleId="JuH1Char">
    <w:name w:val="Ju_H_1. Char"/>
    <w:link w:val="JuH1"/>
    <w:rsid w:val="00E25BA1"/>
    <w:rPr>
      <w:b/>
      <w:i/>
      <w:sz w:val="24"/>
      <w:lang w:val="fr-FR" w:eastAsia="fr-FR" w:bidi="ar-SA"/>
    </w:rPr>
  </w:style>
  <w:style w:type="character" w:customStyle="1" w:styleId="JuHaChar0">
    <w:name w:val="Ju_H_a Char"/>
    <w:link w:val="JuHa0"/>
    <w:rsid w:val="00E25BA1"/>
    <w:rPr>
      <w:b/>
      <w:i/>
      <w:sz w:val="24"/>
      <w:lang w:val="fr-FR" w:eastAsia="fr-FR" w:bidi="ar-SA"/>
    </w:rPr>
  </w:style>
  <w:style w:type="character" w:customStyle="1" w:styleId="JuHArticleChar">
    <w:name w:val="Ju_H_Article Char"/>
    <w:basedOn w:val="JuHaChar0"/>
    <w:link w:val="JuHArticle"/>
    <w:rsid w:val="00E25BA1"/>
    <w:rPr>
      <w:b/>
      <w:i/>
      <w:sz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434808">
      <w:bodyDiv w:val="1"/>
      <w:marLeft w:val="0"/>
      <w:marRight w:val="0"/>
      <w:marTop w:val="0"/>
      <w:marBottom w:val="0"/>
      <w:divBdr>
        <w:top w:val="none" w:sz="0" w:space="0" w:color="auto"/>
        <w:left w:val="none" w:sz="0" w:space="0" w:color="auto"/>
        <w:bottom w:val="none" w:sz="0" w:space="0" w:color="auto"/>
        <w:right w:val="none" w:sz="0" w:space="0" w:color="auto"/>
      </w:divBdr>
      <w:divsChild>
        <w:div w:id="53041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257C8-A405-4220-95FC-8B163B9A1746}"/>
</file>

<file path=customXml/itemProps2.xml><?xml version="1.0" encoding="utf-8"?>
<ds:datastoreItem xmlns:ds="http://schemas.openxmlformats.org/officeDocument/2006/customXml" ds:itemID="{40F1C2EB-B3FE-42F3-B796-7D1B4BCD6E45}"/>
</file>

<file path=customXml/itemProps3.xml><?xml version="1.0" encoding="utf-8"?>
<ds:datastoreItem xmlns:ds="http://schemas.openxmlformats.org/officeDocument/2006/customXml" ds:itemID="{0D3BBD65-BEA8-4202-B14E-ED720A0CB360}"/>
</file>

<file path=customXml/itemProps4.xml><?xml version="1.0" encoding="utf-8"?>
<ds:datastoreItem xmlns:ds="http://schemas.openxmlformats.org/officeDocument/2006/customXml" ds:itemID="{A0166612-C4A7-4486-95B0-54FD8B5E9488}"/>
</file>

<file path=docProps/app.xml><?xml version="1.0" encoding="utf-8"?>
<Properties xmlns="http://schemas.openxmlformats.org/officeDocument/2006/extended-properties" xmlns:vt="http://schemas.openxmlformats.org/officeDocument/2006/docPropsVTypes">
  <Template>Normal.dotm</Template>
  <TotalTime>0</TotalTime>
  <Pages>1</Pages>
  <Words>17258</Words>
  <Characters>98375</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115403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1</cp:revision>
  <cp:lastPrinted>2011-06-28T12:57:00Z</cp:lastPrinted>
  <dcterms:created xsi:type="dcterms:W3CDTF">2015-07-21T08:50:00Z</dcterms:created>
  <dcterms:modified xsi:type="dcterms:W3CDTF">2015-07-21T08:50:00Z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